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0C" w:rsidRDefault="0067440C" w:rsidP="0067440C">
      <w:pPr>
        <w:pStyle w:val="a3"/>
        <w:jc w:val="center"/>
      </w:pPr>
      <w:r>
        <w:rPr>
          <w:rStyle w:val="a4"/>
          <w:color w:val="000000"/>
          <w:sz w:val="36"/>
          <w:szCs w:val="36"/>
        </w:rPr>
        <w:t>РОССИЙСКАЯ ФЕДЕРАЦИЯ</w:t>
      </w:r>
    </w:p>
    <w:p w:rsidR="0067440C" w:rsidRDefault="0067440C" w:rsidP="0067440C">
      <w:pPr>
        <w:pStyle w:val="a3"/>
        <w:jc w:val="center"/>
      </w:pPr>
      <w:r>
        <w:rPr>
          <w:rStyle w:val="a4"/>
          <w:color w:val="000000"/>
          <w:sz w:val="36"/>
          <w:szCs w:val="36"/>
        </w:rPr>
        <w:t>ИРКУТСКАЯ ОБЛАСТЬ</w:t>
      </w:r>
    </w:p>
    <w:p w:rsidR="0067440C" w:rsidRDefault="0067440C" w:rsidP="0067440C">
      <w:pPr>
        <w:pStyle w:val="a3"/>
        <w:jc w:val="center"/>
      </w:pPr>
      <w:r>
        <w:rPr>
          <w:rStyle w:val="a4"/>
          <w:color w:val="000000"/>
          <w:sz w:val="36"/>
          <w:szCs w:val="36"/>
        </w:rPr>
        <w:t>БАЛАГАНСКИЙ РАЙОН</w:t>
      </w:r>
    </w:p>
    <w:p w:rsidR="0067440C" w:rsidRDefault="0067440C" w:rsidP="0067440C">
      <w:pPr>
        <w:pStyle w:val="a3"/>
        <w:jc w:val="center"/>
      </w:pPr>
      <w:r>
        <w:rPr>
          <w:rStyle w:val="a4"/>
          <w:color w:val="000000"/>
          <w:sz w:val="36"/>
          <w:szCs w:val="36"/>
        </w:rPr>
        <w:t> ЗАСЛАВСКОЕ МУНИЦИПАЛЬНОЕ ОБРАЗОВАНИЕ</w:t>
      </w:r>
    </w:p>
    <w:p w:rsidR="0067440C" w:rsidRDefault="0067440C" w:rsidP="0067440C">
      <w:pPr>
        <w:pStyle w:val="a3"/>
        <w:jc w:val="center"/>
      </w:pPr>
      <w:r>
        <w:rPr>
          <w:color w:val="000000"/>
          <w:sz w:val="36"/>
          <w:szCs w:val="36"/>
        </w:rPr>
        <w:t> </w:t>
      </w:r>
    </w:p>
    <w:p w:rsidR="0067440C" w:rsidRDefault="0067440C" w:rsidP="0067440C">
      <w:pPr>
        <w:pStyle w:val="a3"/>
        <w:jc w:val="center"/>
      </w:pPr>
      <w:r>
        <w:rPr>
          <w:rStyle w:val="a4"/>
          <w:color w:val="000000"/>
          <w:sz w:val="36"/>
          <w:szCs w:val="36"/>
        </w:rPr>
        <w:t>ДУМА</w:t>
      </w:r>
    </w:p>
    <w:p w:rsidR="0067440C" w:rsidRDefault="0067440C" w:rsidP="0067440C">
      <w:pPr>
        <w:pStyle w:val="a3"/>
        <w:jc w:val="center"/>
      </w:pPr>
      <w:r>
        <w:rPr>
          <w:rStyle w:val="a4"/>
          <w:color w:val="000000"/>
          <w:sz w:val="36"/>
          <w:szCs w:val="36"/>
        </w:rPr>
        <w:t>РЕШЕНИЕ</w:t>
      </w:r>
    </w:p>
    <w:p w:rsidR="0067440C" w:rsidRDefault="0067440C" w:rsidP="0067440C">
      <w:pPr>
        <w:pStyle w:val="a3"/>
      </w:pPr>
      <w:r>
        <w:rPr>
          <w:rStyle w:val="a4"/>
          <w:color w:val="000000"/>
          <w:sz w:val="36"/>
          <w:szCs w:val="36"/>
        </w:rPr>
        <w:t> </w:t>
      </w:r>
    </w:p>
    <w:p w:rsidR="0067440C" w:rsidRDefault="0067440C" w:rsidP="0067440C">
      <w:pPr>
        <w:pStyle w:val="a3"/>
      </w:pPr>
      <w:r>
        <w:rPr>
          <w:rStyle w:val="a5"/>
          <w:b/>
          <w:bCs/>
          <w:color w:val="000000"/>
          <w:sz w:val="36"/>
          <w:szCs w:val="36"/>
        </w:rPr>
        <w:t>ОБ  УСТАНОВЛЕНИИ НА ТЕРРИТОРИИ ЗАСЛАВСКОГО МУНИЦИПАЛЬНОГО  ОБРАЗОВАНИЯ – ЗЕМЕЛЬНОГО НАЛОГА</w:t>
      </w:r>
    </w:p>
    <w:p w:rsidR="0067440C" w:rsidRDefault="0067440C" w:rsidP="0067440C">
      <w:pPr>
        <w:pStyle w:val="a3"/>
      </w:pPr>
      <w:r>
        <w:rPr>
          <w:rStyle w:val="a5"/>
          <w:b/>
          <w:bCs/>
          <w:color w:val="000000"/>
          <w:sz w:val="36"/>
          <w:szCs w:val="36"/>
        </w:rP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          В соответствии с Федеральными </w:t>
      </w:r>
      <w:hyperlink r:id="rId4" w:history="1">
        <w:r>
          <w:rPr>
            <w:rStyle w:val="a6"/>
            <w:color w:val="000000"/>
            <w:sz w:val="36"/>
            <w:szCs w:val="36"/>
          </w:rPr>
          <w:t>законами</w:t>
        </w:r>
      </w:hyperlink>
      <w:r>
        <w:rPr>
          <w:color w:val="000000"/>
          <w:sz w:val="36"/>
          <w:szCs w:val="36"/>
        </w:rPr>
        <w:t xml:space="preserve"> от 6 октября 2003 г. № 131-ФЗ «Об общих принципах организации местного самоуправления в Российской Федерации», главой 31 части второй Налогового кодекса Российской Федерации, руководствуясь </w:t>
      </w:r>
      <w:hyperlink r:id="rId5" w:history="1">
        <w:r>
          <w:rPr>
            <w:rStyle w:val="a6"/>
            <w:color w:val="000000"/>
            <w:sz w:val="36"/>
            <w:szCs w:val="36"/>
          </w:rPr>
          <w:t>Уставом</w:t>
        </w:r>
      </w:hyperlink>
      <w:r>
        <w:rPr>
          <w:color w:val="000000"/>
          <w:sz w:val="36"/>
          <w:szCs w:val="36"/>
        </w:rPr>
        <w:t xml:space="preserve"> </w:t>
      </w:r>
      <w:proofErr w:type="spellStart"/>
      <w:r>
        <w:rPr>
          <w:color w:val="000000"/>
          <w:sz w:val="36"/>
          <w:szCs w:val="36"/>
        </w:rPr>
        <w:t>Заславского</w:t>
      </w:r>
      <w:proofErr w:type="spellEnd"/>
      <w:r>
        <w:rPr>
          <w:color w:val="000000"/>
          <w:sz w:val="36"/>
          <w:szCs w:val="36"/>
        </w:rPr>
        <w:t xml:space="preserve"> муниципального образования – </w:t>
      </w:r>
      <w:r>
        <w:rPr>
          <w:rStyle w:val="a5"/>
          <w:color w:val="000000"/>
          <w:sz w:val="36"/>
          <w:szCs w:val="36"/>
        </w:rPr>
        <w:t xml:space="preserve">Дума </w:t>
      </w:r>
      <w:proofErr w:type="spellStart"/>
      <w:r>
        <w:rPr>
          <w:rStyle w:val="a5"/>
          <w:color w:val="000000"/>
          <w:sz w:val="36"/>
          <w:szCs w:val="36"/>
        </w:rPr>
        <w:t>Заславского</w:t>
      </w:r>
      <w:proofErr w:type="spellEnd"/>
      <w:r>
        <w:rPr>
          <w:rStyle w:val="a5"/>
          <w:color w:val="000000"/>
          <w:sz w:val="36"/>
          <w:szCs w:val="36"/>
        </w:rPr>
        <w:t xml:space="preserve"> муниципального образования</w:t>
      </w:r>
    </w:p>
    <w:p w:rsidR="0067440C" w:rsidRDefault="0067440C" w:rsidP="0067440C">
      <w:pPr>
        <w:pStyle w:val="a3"/>
      </w:pPr>
      <w:r>
        <w:rPr>
          <w:rStyle w:val="a4"/>
          <w:color w:val="000000"/>
          <w:sz w:val="36"/>
          <w:szCs w:val="36"/>
        </w:rPr>
        <w:t>решила: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Установить и ввести в действие с 1 января 2017 года на территории </w:t>
      </w:r>
      <w:proofErr w:type="spellStart"/>
      <w:r>
        <w:rPr>
          <w:color w:val="000000"/>
          <w:sz w:val="36"/>
          <w:szCs w:val="36"/>
        </w:rPr>
        <w:t>Заславского</w:t>
      </w:r>
      <w:proofErr w:type="spellEnd"/>
      <w:r>
        <w:rPr>
          <w:color w:val="000000"/>
          <w:sz w:val="36"/>
          <w:szCs w:val="36"/>
        </w:rPr>
        <w:t xml:space="preserve"> муниципального образования земельный налог (далее – налог).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lastRenderedPageBreak/>
        <w:t xml:space="preserve"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6" w:anchor="sub_389" w:history="1">
        <w:r>
          <w:rPr>
            <w:rStyle w:val="a6"/>
            <w:color w:val="000000"/>
            <w:sz w:val="36"/>
            <w:szCs w:val="36"/>
          </w:rPr>
          <w:t>статьей 389</w:t>
        </w:r>
      </w:hyperlink>
      <w:r>
        <w:rPr>
          <w:color w:val="000000"/>
          <w:sz w:val="36"/>
          <w:szCs w:val="36"/>
        </w:rPr>
        <w:t xml:space="preserve"> НК РФ, на праве собственности, праве постоянного (бессрочного) пользования или праве пожизненного наследуемого владения.</w:t>
      </w:r>
    </w:p>
    <w:p w:rsidR="0067440C" w:rsidRDefault="0067440C" w:rsidP="0067440C">
      <w:pPr>
        <w:pStyle w:val="a3"/>
      </w:pPr>
      <w:r>
        <w:rPr>
          <w:rStyle w:val="a5"/>
          <w:b/>
          <w:bCs/>
          <w:color w:val="000000"/>
          <w:sz w:val="36"/>
          <w:szCs w:val="36"/>
        </w:rPr>
        <w:t>Установить следующие налоговые ставки по налогу: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      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3.1. 0,3 процента в отношении земельных участков: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производства: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- </w:t>
      </w:r>
      <w:proofErr w:type="gramStart"/>
      <w:r>
        <w:rPr>
          <w:color w:val="000000"/>
          <w:sz w:val="36"/>
          <w:szCs w:val="36"/>
        </w:rPr>
        <w:t>занятых</w:t>
      </w:r>
      <w:proofErr w:type="gramEnd"/>
      <w:r>
        <w:rPr>
          <w:color w:val="000000"/>
          <w:sz w:val="36"/>
          <w:szCs w:val="36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  строительства: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- </w:t>
      </w:r>
      <w:proofErr w:type="gramStart"/>
      <w:r>
        <w:rPr>
          <w:color w:val="000000"/>
          <w:sz w:val="36"/>
          <w:szCs w:val="36"/>
        </w:rPr>
        <w:t>приобретенных</w:t>
      </w:r>
      <w:proofErr w:type="gramEnd"/>
      <w:r>
        <w:rPr>
          <w:color w:val="000000"/>
          <w:sz w:val="36"/>
          <w:szCs w:val="3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           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3.2. 1,5 процента в отношении прочих земельных участков.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lastRenderedPageBreak/>
        <w:t xml:space="preserve">Установить, что на территории </w:t>
      </w:r>
      <w:proofErr w:type="spellStart"/>
      <w:r>
        <w:rPr>
          <w:color w:val="000000"/>
          <w:sz w:val="36"/>
          <w:szCs w:val="36"/>
        </w:rPr>
        <w:t>Заславского</w:t>
      </w:r>
      <w:proofErr w:type="spellEnd"/>
      <w:r>
        <w:rPr>
          <w:color w:val="000000"/>
          <w:sz w:val="36"/>
          <w:szCs w:val="36"/>
        </w:rPr>
        <w:t xml:space="preserve"> муниципального образования применяются льготы, установленные ст. 395 Налогового кодекса Российской Федерации.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Налогоплательщики, имеющие право на льготу по уплате налога, в том числе на уменьшение налоговой базы по налогу, представляют в налоговые органы по месту нахождения земельного участка документы, подтверждающие данное право, не позднее 1 февраля года, следующего за истекшим налоговым периодом.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Установить налоговый и отчетный периоды для налогоплательщиков – организаций: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        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6.1. Налоговым периодом признается календарный год.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       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 6.2. Отчетными периодами признаются первый квартал, второй квартал и третий квартал календарного года.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Установить и утвердить порядок и сроки уплаты налога налогоплательщиками – организациями: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        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7.1. Сумма налога, подлежащая уплате в бюджет по итогам налогового периода, уплачивается 5 февраля  года, следующего за истекшим налоговым периодом.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        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7.2. Сумма авансовых платежей по налогу исчисляется по истечении первого, второго и третьего квартала текущего налогового периода как одна четвертая соответствующей </w:t>
      </w:r>
      <w:r>
        <w:rPr>
          <w:color w:val="000000"/>
          <w:sz w:val="36"/>
          <w:szCs w:val="36"/>
        </w:rPr>
        <w:lastRenderedPageBreak/>
        <w:t>налоговой ставки процентной доли кадастровой стоимости земельного участка по состоянию на 1 января года, являющегося налоговым периодом. Срок уплаты авансовых платежей установлен за первый, второй и третий квартал соответствующего налогового периода - 30 апреля, 31 июля и 31 октября, соответственно.</w:t>
      </w:r>
    </w:p>
    <w:p w:rsidR="0067440C" w:rsidRDefault="0067440C" w:rsidP="0067440C">
      <w:pPr>
        <w:pStyle w:val="a3"/>
      </w:pPr>
      <w: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67440C" w:rsidRDefault="0067440C" w:rsidP="0067440C">
      <w:pPr>
        <w:pStyle w:val="a3"/>
      </w:pPr>
      <w: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Налогоплательщики - физические лица уплачивают налог на основании </w:t>
      </w:r>
      <w:hyperlink r:id="rId7" w:history="1">
        <w:r>
          <w:rPr>
            <w:rStyle w:val="a6"/>
            <w:color w:val="000000"/>
            <w:sz w:val="36"/>
            <w:szCs w:val="36"/>
          </w:rPr>
          <w:t>налогового уведомления</w:t>
        </w:r>
      </w:hyperlink>
      <w:r>
        <w:rPr>
          <w:color w:val="000000"/>
          <w:sz w:val="36"/>
          <w:szCs w:val="36"/>
        </w:rPr>
        <w:t>, направленного налоговым органом.</w:t>
      </w:r>
    </w:p>
    <w:p w:rsidR="0067440C" w:rsidRDefault="0067440C" w:rsidP="0067440C">
      <w:pPr>
        <w:pStyle w:val="a3"/>
      </w:pPr>
      <w: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Налог подлежит уплате налогоплательщиками - физическими лицами в соответствии с п.1 ст.397 НК РФ.</w:t>
      </w:r>
    </w:p>
    <w:p w:rsidR="0067440C" w:rsidRDefault="0067440C" w:rsidP="0067440C">
      <w:pPr>
        <w:pStyle w:val="a3"/>
      </w:pPr>
      <w: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С момента вступления в силу настоящего решения считать утратившими силу решение Думы МО от « 13 » ноября  2015 г.  № 6/3  « О земельном налоге на 2016 г.».</w:t>
      </w:r>
    </w:p>
    <w:p w:rsidR="0067440C" w:rsidRDefault="0067440C" w:rsidP="0067440C">
      <w:pPr>
        <w:pStyle w:val="a3"/>
      </w:pPr>
      <w: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Опубликовать настоящее решение в печатном средстве « Вестник </w:t>
      </w:r>
      <w:proofErr w:type="spellStart"/>
      <w:r>
        <w:rPr>
          <w:color w:val="000000"/>
          <w:sz w:val="36"/>
          <w:szCs w:val="36"/>
        </w:rPr>
        <w:t>Заславска</w:t>
      </w:r>
      <w:proofErr w:type="spellEnd"/>
      <w:r>
        <w:rPr>
          <w:color w:val="000000"/>
          <w:sz w:val="36"/>
          <w:szCs w:val="36"/>
        </w:rPr>
        <w:t xml:space="preserve">» и на официальном сайте администрации </w:t>
      </w:r>
      <w:proofErr w:type="spellStart"/>
      <w:r>
        <w:rPr>
          <w:color w:val="000000"/>
          <w:sz w:val="36"/>
          <w:szCs w:val="36"/>
        </w:rPr>
        <w:t>Заславского</w:t>
      </w:r>
      <w:proofErr w:type="spellEnd"/>
      <w:r>
        <w:rPr>
          <w:color w:val="000000"/>
          <w:sz w:val="36"/>
          <w:szCs w:val="36"/>
        </w:rPr>
        <w:t xml:space="preserve"> муниципального образования в срок не позднее 01.12.2016 г.</w:t>
      </w:r>
    </w:p>
    <w:p w:rsidR="0067440C" w:rsidRDefault="0067440C" w:rsidP="0067440C">
      <w:pPr>
        <w:pStyle w:val="a3"/>
      </w:pPr>
      <w: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lastRenderedPageBreak/>
        <w:t>Настоящее Решение вступает в силу по истечении одного месяца с момента официального опубликования, но не ранее 1 января 2017 года.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В течение 5 дней с момента принятия направить настоящее решение в </w:t>
      </w:r>
      <w:proofErr w:type="gramStart"/>
      <w:r>
        <w:rPr>
          <w:color w:val="000000"/>
          <w:sz w:val="36"/>
          <w:szCs w:val="36"/>
        </w:rPr>
        <w:t>Межрайонную</w:t>
      </w:r>
      <w:proofErr w:type="gramEnd"/>
      <w:r>
        <w:rPr>
          <w:color w:val="000000"/>
          <w:sz w:val="36"/>
          <w:szCs w:val="36"/>
        </w:rPr>
        <w:t xml:space="preserve"> ИФНС России № 14 по Иркутской области.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> 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Председатель Думы, Глава </w:t>
      </w:r>
      <w:proofErr w:type="spellStart"/>
      <w:r>
        <w:rPr>
          <w:color w:val="000000"/>
          <w:sz w:val="36"/>
          <w:szCs w:val="36"/>
        </w:rPr>
        <w:t>Заславского</w:t>
      </w:r>
      <w:proofErr w:type="spellEnd"/>
      <w:r>
        <w:rPr>
          <w:color w:val="000000"/>
          <w:sz w:val="36"/>
          <w:szCs w:val="36"/>
        </w:rPr>
        <w:t xml:space="preserve"> муниципального образования</w:t>
      </w:r>
    </w:p>
    <w:p w:rsidR="0067440C" w:rsidRDefault="0067440C" w:rsidP="0067440C">
      <w:pPr>
        <w:pStyle w:val="a3"/>
      </w:pPr>
      <w:r>
        <w:rPr>
          <w:color w:val="000000"/>
          <w:sz w:val="36"/>
          <w:szCs w:val="36"/>
        </w:rPr>
        <w:t xml:space="preserve">Е. М. </w:t>
      </w:r>
      <w:proofErr w:type="spellStart"/>
      <w:r>
        <w:rPr>
          <w:color w:val="000000"/>
          <w:sz w:val="36"/>
          <w:szCs w:val="36"/>
        </w:rPr>
        <w:t>Покладок</w:t>
      </w:r>
      <w:proofErr w:type="spellEnd"/>
    </w:p>
    <w:p w:rsidR="00FC7FF6" w:rsidRDefault="00FC7FF6"/>
    <w:sectPr w:rsidR="00FC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40C"/>
    <w:rsid w:val="0067440C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40C"/>
    <w:rPr>
      <w:b/>
      <w:bCs/>
    </w:rPr>
  </w:style>
  <w:style w:type="character" w:styleId="a5">
    <w:name w:val="Emphasis"/>
    <w:basedOn w:val="a0"/>
    <w:uiPriority w:val="20"/>
    <w:qFormat/>
    <w:rsid w:val="0067440C"/>
    <w:rPr>
      <w:i/>
      <w:iCs/>
    </w:rPr>
  </w:style>
  <w:style w:type="character" w:styleId="a6">
    <w:name w:val="Hyperlink"/>
    <w:basedOn w:val="a0"/>
    <w:uiPriority w:val="99"/>
    <w:semiHidden/>
    <w:unhideWhenUsed/>
    <w:rsid w:val="00674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758174.1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slavsk-mo.ru/index.php/duma/151-ustanovlenie-na-territorii-zaslavskogo-mo-zemelnogo-naloga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4149</Characters>
  <Application>Microsoft Office Word</Application>
  <DocSecurity>0</DocSecurity>
  <Lines>34</Lines>
  <Paragraphs>9</Paragraphs>
  <ScaleCrop>false</ScaleCrop>
  <Company>Главтехцентр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2017-08-15T04:25:00Z</dcterms:created>
  <dcterms:modified xsi:type="dcterms:W3CDTF">2017-08-15T04:26:00Z</dcterms:modified>
</cp:coreProperties>
</file>