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Arial" w:hAnsi="Arial" w:cs="Arial"/>
          <w:b/>
          <w:color w:val="auto"/>
          <w:sz w:val="32"/>
          <w:szCs w:val="32"/>
          <w:lang w:val="ru-RU"/>
        </w:rPr>
      </w:pPr>
      <w:r>
        <w:rPr>
          <w:rFonts w:ascii="Arial" w:hAnsi="Arial" w:cs="Arial"/>
          <w:b/>
          <w:sz w:val="32"/>
          <w:szCs w:val="32"/>
        </w:rPr>
        <w:t>О</w:t>
      </w:r>
      <w:r>
        <w:rPr>
          <w:rFonts w:ascii="Arial" w:hAnsi="Arial" w:cs="Arial"/>
          <w:b/>
          <w:color w:val="auto"/>
          <w:sz w:val="32"/>
          <w:szCs w:val="32"/>
          <w:lang w:val="ru-RU"/>
        </w:rPr>
        <w:t>Т</w:t>
      </w:r>
      <w:r>
        <w:rPr>
          <w:rFonts w:ascii="Arial" w:hAnsi="Arial" w:cs="Arial"/>
          <w:b/>
          <w:color w:val="auto"/>
          <w:sz w:val="32"/>
          <w:szCs w:val="32"/>
        </w:rPr>
        <w:t xml:space="preserve"> 2</w:t>
      </w:r>
      <w:r>
        <w:rPr>
          <w:rFonts w:hint="default" w:ascii="Arial" w:hAnsi="Arial" w:cs="Arial"/>
          <w:b/>
          <w:color w:val="auto"/>
          <w:sz w:val="32"/>
          <w:szCs w:val="32"/>
          <w:lang w:val="ru-RU"/>
        </w:rPr>
        <w:t>0</w:t>
      </w:r>
      <w:r>
        <w:rPr>
          <w:rFonts w:ascii="Arial" w:hAnsi="Arial" w:cs="Arial"/>
          <w:b/>
          <w:color w:val="auto"/>
          <w:sz w:val="32"/>
          <w:szCs w:val="32"/>
        </w:rPr>
        <w:t>.0</w:t>
      </w:r>
      <w:r>
        <w:rPr>
          <w:rFonts w:hint="default" w:ascii="Arial" w:hAnsi="Arial" w:cs="Arial"/>
          <w:b/>
          <w:color w:val="auto"/>
          <w:sz w:val="32"/>
          <w:szCs w:val="32"/>
          <w:lang w:val="ru-RU"/>
        </w:rPr>
        <w:t>5</w:t>
      </w:r>
      <w:r>
        <w:rPr>
          <w:rFonts w:ascii="Arial" w:hAnsi="Arial" w:cs="Arial"/>
          <w:b/>
          <w:color w:val="auto"/>
          <w:sz w:val="32"/>
          <w:szCs w:val="32"/>
        </w:rPr>
        <w:t xml:space="preserve">.2021 № </w:t>
      </w:r>
      <w:r>
        <w:rPr>
          <w:rFonts w:hint="default" w:ascii="Arial" w:hAnsi="Arial" w:cs="Arial"/>
          <w:b/>
          <w:color w:val="auto"/>
          <w:sz w:val="32"/>
          <w:szCs w:val="32"/>
          <w:lang w:val="ru-RU"/>
        </w:rPr>
        <w:t>18</w:t>
      </w:r>
    </w:p>
    <w:p>
      <w:pPr>
        <w:pStyle w:val="7"/>
        <w:jc w:val="center"/>
        <w:rPr>
          <w:rFonts w:ascii="Arial" w:hAnsi="Arial" w:cs="Arial"/>
          <w:b/>
          <w:sz w:val="32"/>
          <w:szCs w:val="32"/>
        </w:rPr>
      </w:pPr>
      <w:r>
        <w:rPr>
          <w:rFonts w:ascii="Arial" w:hAnsi="Arial" w:cs="Arial"/>
          <w:b/>
          <w:sz w:val="32"/>
          <w:szCs w:val="32"/>
        </w:rPr>
        <w:t>РОССИЙСКАЯ ФЕДЕРАЦИЯ</w:t>
      </w:r>
    </w:p>
    <w:p>
      <w:pPr>
        <w:pStyle w:val="7"/>
        <w:jc w:val="center"/>
        <w:rPr>
          <w:rFonts w:ascii="Arial" w:hAnsi="Arial" w:cs="Arial"/>
          <w:b/>
          <w:sz w:val="32"/>
          <w:szCs w:val="32"/>
        </w:rPr>
      </w:pPr>
      <w:r>
        <w:rPr>
          <w:rFonts w:ascii="Arial" w:hAnsi="Arial" w:cs="Arial"/>
          <w:b/>
          <w:sz w:val="32"/>
          <w:szCs w:val="32"/>
        </w:rPr>
        <w:t>ИРКУТСКАЯ ОБЛАСТЬ</w:t>
      </w:r>
    </w:p>
    <w:p>
      <w:pPr>
        <w:pStyle w:val="7"/>
        <w:jc w:val="center"/>
        <w:rPr>
          <w:rFonts w:ascii="Arial" w:hAnsi="Arial" w:cs="Arial"/>
          <w:b/>
          <w:sz w:val="32"/>
          <w:szCs w:val="32"/>
        </w:rPr>
      </w:pPr>
      <w:r>
        <w:rPr>
          <w:rFonts w:ascii="Arial" w:hAnsi="Arial" w:cs="Arial"/>
          <w:b/>
          <w:sz w:val="32"/>
          <w:szCs w:val="32"/>
        </w:rPr>
        <w:t>БАЛАГАНСКИЙ РАЙОН</w:t>
      </w:r>
    </w:p>
    <w:p>
      <w:pPr>
        <w:pStyle w:val="7"/>
        <w:jc w:val="center"/>
        <w:rPr>
          <w:rFonts w:ascii="Arial" w:hAnsi="Arial" w:cs="Arial"/>
          <w:b/>
          <w:sz w:val="32"/>
          <w:szCs w:val="32"/>
        </w:rPr>
      </w:pPr>
      <w:r>
        <w:rPr>
          <w:rFonts w:ascii="Arial" w:hAnsi="Arial" w:cs="Arial"/>
          <w:b/>
          <w:sz w:val="32"/>
          <w:szCs w:val="32"/>
        </w:rPr>
        <w:t>ЗАСЛАВСКОЕ МУНИЦИПАЛЬНОЕ ОБРАЗОВАНИЕ</w:t>
      </w:r>
    </w:p>
    <w:p>
      <w:pPr>
        <w:pStyle w:val="7"/>
        <w:jc w:val="center"/>
        <w:rPr>
          <w:rFonts w:ascii="Arial" w:hAnsi="Arial" w:cs="Arial"/>
          <w:b/>
          <w:sz w:val="32"/>
          <w:szCs w:val="32"/>
        </w:rPr>
      </w:pPr>
      <w:r>
        <w:rPr>
          <w:rFonts w:ascii="Arial" w:hAnsi="Arial" w:cs="Arial"/>
          <w:b/>
          <w:sz w:val="32"/>
          <w:szCs w:val="32"/>
        </w:rPr>
        <w:t>АДМИНИСТРАЦИЯ</w:t>
      </w:r>
    </w:p>
    <w:p>
      <w:pPr>
        <w:pStyle w:val="7"/>
        <w:jc w:val="center"/>
        <w:rPr>
          <w:rFonts w:ascii="Arial" w:hAnsi="Arial" w:cs="Arial"/>
          <w:sz w:val="24"/>
          <w:szCs w:val="24"/>
        </w:rPr>
      </w:pPr>
      <w:r>
        <w:rPr>
          <w:rFonts w:ascii="Arial" w:hAnsi="Arial" w:cs="Arial"/>
          <w:b/>
          <w:sz w:val="32"/>
          <w:szCs w:val="32"/>
        </w:rPr>
        <w:t>ПОСТАНОВЛЕНИЕ</w:t>
      </w:r>
    </w:p>
    <w:p>
      <w:pPr>
        <w:pStyle w:val="4"/>
        <w:jc w:val="left"/>
        <w:rPr>
          <w:rFonts w:ascii="Arial" w:hAnsi="Arial" w:cs="Arial"/>
          <w:sz w:val="24"/>
          <w:szCs w:val="24"/>
        </w:rPr>
      </w:pPr>
    </w:p>
    <w:p>
      <w:pPr>
        <w:pStyle w:val="4"/>
        <w:tabs>
          <w:tab w:val="center" w:pos="4677"/>
          <w:tab w:val="left" w:pos="8520"/>
        </w:tabs>
        <w:spacing w:line="360" w:lineRule="auto"/>
        <w:jc w:val="left"/>
        <w:rPr>
          <w:rFonts w:ascii="Arial" w:hAnsi="Arial" w:cs="Arial"/>
          <w:sz w:val="32"/>
          <w:szCs w:val="32"/>
        </w:rPr>
      </w:pPr>
    </w:p>
    <w:p>
      <w:pPr>
        <w:shd w:val="clear" w:color="auto" w:fill="FFFFFF"/>
        <w:spacing w:after="0" w:line="240" w:lineRule="auto"/>
        <w:jc w:val="center"/>
        <w:textAlignment w:val="baseline"/>
        <w:outlineLvl w:val="0"/>
        <w:rPr>
          <w:rFonts w:ascii="Arial" w:hAnsi="Arial" w:eastAsia="Times New Roman" w:cs="Arial"/>
          <w:b/>
          <w:bCs/>
          <w:color w:val="2D2D2D"/>
          <w:spacing w:val="2"/>
          <w:kern w:val="36"/>
          <w:sz w:val="32"/>
          <w:szCs w:val="32"/>
          <w:lang w:eastAsia="ru-RU"/>
        </w:rPr>
      </w:pPr>
      <w:r>
        <w:rPr>
          <w:rFonts w:ascii="Arial" w:hAnsi="Arial" w:cs="Arial"/>
          <w:b/>
          <w:sz w:val="32"/>
          <w:szCs w:val="32"/>
          <w:lang w:eastAsia="ru-RU"/>
        </w:rPr>
        <w:t>ОБ УТВЕРЖДЕНИИ</w:t>
      </w:r>
      <w:r>
        <w:rPr>
          <w:rFonts w:ascii="Arial" w:hAnsi="Arial" w:eastAsia="Times New Roman" w:cs="Arial"/>
          <w:b/>
          <w:bCs/>
          <w:color w:val="2D2D2D"/>
          <w:spacing w:val="2"/>
          <w:kern w:val="36"/>
          <w:sz w:val="32"/>
          <w:szCs w:val="32"/>
          <w:lang w:eastAsia="ru-RU"/>
        </w:rPr>
        <w:t xml:space="preserve"> </w:t>
      </w:r>
      <w:r>
        <w:rPr>
          <w:rFonts w:ascii="Arial" w:hAnsi="Arial" w:cs="Arial"/>
          <w:b/>
          <w:sz w:val="32"/>
          <w:szCs w:val="32"/>
        </w:rPr>
        <w:t>ПОЛОЖЕНИЯ ОБ ОЦЕНКЕ КОРРУПЦИОННЫХ РИСКОВ, ВОЗНИКАЮЩИХ ПРИ РЕАЛИЗАЦИИ АДМИНИСТРАЦИЕЙ ЗАСЛАВСКОГО МУНИЦИПАЛЬНОГО ОБРАЗОВАНИЯ И МУНИЦИПАЛЬНЫМИ СЛУЖАЩИМИ СТРУКТУРНЫХ ПОДРАЗДЕЛЕНИЙ АДМИНИСТРАЦИИ ЗАСЛАВСКОГО МУНИЦИПАЛЬНОГО ОБРАЗОВАНИЯ СВОИХ ФУНКЦИЙ</w:t>
      </w:r>
    </w:p>
    <w:p>
      <w:pPr>
        <w:shd w:val="clear" w:color="auto" w:fill="FFFFFF"/>
        <w:spacing w:after="0" w:line="240" w:lineRule="auto"/>
        <w:jc w:val="center"/>
        <w:textAlignment w:val="baseline"/>
        <w:outlineLvl w:val="0"/>
        <w:rPr>
          <w:rFonts w:ascii="Arial" w:hAnsi="Arial" w:eastAsia="Times New Roman" w:cs="Arial"/>
          <w:b/>
          <w:bCs/>
          <w:color w:val="2D2D2D"/>
          <w:spacing w:val="2"/>
          <w:kern w:val="36"/>
          <w:sz w:val="32"/>
          <w:szCs w:val="32"/>
          <w:lang w:eastAsia="ru-RU"/>
        </w:rPr>
      </w:pPr>
    </w:p>
    <w:p>
      <w:pPr>
        <w:shd w:val="clear" w:color="auto" w:fill="FFFFFF"/>
        <w:spacing w:after="0" w:line="240" w:lineRule="auto"/>
        <w:ind w:firstLine="709"/>
        <w:jc w:val="left"/>
        <w:textAlignment w:val="baseline"/>
        <w:outlineLvl w:val="0"/>
        <w:rPr>
          <w:rFonts w:ascii="Arial" w:hAnsi="Arial" w:cs="Arial"/>
          <w:sz w:val="24"/>
          <w:szCs w:val="24"/>
        </w:rPr>
      </w:pPr>
      <w:r>
        <w:rPr>
          <w:rFonts w:ascii="Arial" w:hAnsi="Arial" w:cs="Arial"/>
          <w:sz w:val="24"/>
          <w:szCs w:val="24"/>
        </w:rPr>
        <w:t>На основании экспертного заключения № 829 от 29.03.2021 года Аппарата Губернатора Иркутской области и правительства Иркутской области.</w:t>
      </w:r>
    </w:p>
    <w:p>
      <w:pPr>
        <w:shd w:val="clear" w:color="auto" w:fill="FFFFFF"/>
        <w:spacing w:after="0" w:line="240" w:lineRule="auto"/>
        <w:ind w:firstLine="709"/>
        <w:jc w:val="left"/>
        <w:textAlignment w:val="baseline"/>
        <w:outlineLvl w:val="0"/>
        <w:rPr>
          <w:rFonts w:ascii="Arial" w:hAnsi="Arial" w:cs="Arial"/>
          <w:sz w:val="24"/>
          <w:szCs w:val="24"/>
          <w:lang w:eastAsia="ru-RU"/>
        </w:rPr>
      </w:pPr>
    </w:p>
    <w:p>
      <w:pPr>
        <w:shd w:val="clear" w:color="auto" w:fill="FFFFFF"/>
        <w:spacing w:after="0" w:line="240" w:lineRule="auto"/>
        <w:jc w:val="center"/>
        <w:textAlignment w:val="baseline"/>
        <w:outlineLvl w:val="0"/>
        <w:rPr>
          <w:rFonts w:ascii="Arial" w:hAnsi="Arial" w:eastAsia="Times New Roman" w:cs="Arial"/>
          <w:b/>
          <w:color w:val="000000"/>
          <w:spacing w:val="2"/>
          <w:sz w:val="30"/>
          <w:szCs w:val="30"/>
          <w:lang w:eastAsia="ru-RU"/>
        </w:rPr>
      </w:pPr>
      <w:r>
        <w:rPr>
          <w:rFonts w:ascii="Arial" w:hAnsi="Arial" w:eastAsia="Times New Roman" w:cs="Arial"/>
          <w:b/>
          <w:color w:val="000000"/>
          <w:spacing w:val="2"/>
          <w:sz w:val="30"/>
          <w:szCs w:val="30"/>
          <w:lang w:eastAsia="ru-RU"/>
        </w:rPr>
        <w:t>ПОСТАНОВЛЯЕТ:</w:t>
      </w:r>
    </w:p>
    <w:p>
      <w:pPr>
        <w:shd w:val="clear" w:color="auto" w:fill="FFFFFF"/>
        <w:tabs>
          <w:tab w:val="left" w:pos="709"/>
        </w:tabs>
        <w:spacing w:after="0" w:line="240" w:lineRule="auto"/>
        <w:jc w:val="center"/>
        <w:textAlignment w:val="baseline"/>
        <w:outlineLvl w:val="0"/>
        <w:rPr>
          <w:rFonts w:ascii="Arial" w:hAnsi="Arial" w:eastAsia="Times New Roman" w:cs="Arial"/>
          <w:b/>
          <w:color w:val="000000"/>
          <w:spacing w:val="2"/>
          <w:sz w:val="30"/>
          <w:szCs w:val="30"/>
          <w:lang w:eastAsia="ru-RU"/>
        </w:rPr>
      </w:pPr>
    </w:p>
    <w:p>
      <w:pPr>
        <w:numPr>
          <w:ilvl w:val="0"/>
          <w:numId w:val="1"/>
        </w:numPr>
        <w:spacing w:after="0" w:line="240" w:lineRule="auto"/>
        <w:ind w:firstLine="709"/>
        <w:jc w:val="both"/>
        <w:rPr>
          <w:rFonts w:hint="default" w:ascii="Arial" w:hAnsi="Arial" w:cs="Arial"/>
          <w:sz w:val="24"/>
          <w:szCs w:val="24"/>
          <w:lang w:val="ru-RU" w:eastAsia="ru-RU"/>
        </w:rPr>
      </w:pPr>
      <w:r>
        <w:rPr>
          <w:rFonts w:ascii="Arial" w:hAnsi="Arial" w:cs="Arial"/>
          <w:sz w:val="24"/>
          <w:szCs w:val="24"/>
          <w:lang w:eastAsia="ru-RU"/>
        </w:rPr>
        <w:t>Утвердить</w:t>
      </w:r>
      <w:r>
        <w:rPr>
          <w:rFonts w:ascii="Arial" w:hAnsi="Arial" w:cs="Arial"/>
          <w:sz w:val="24"/>
          <w:szCs w:val="24"/>
        </w:rPr>
        <w:t xml:space="preserve"> Положение об оценке коррупционных рисков, возникающих при реализации администрацией Заславского муниципального образования и муниципальными служащими структурных подразделений администрации Заславского муниципального образования своих функций</w:t>
      </w:r>
      <w:r>
        <w:rPr>
          <w:rFonts w:hint="default" w:ascii="Arial" w:hAnsi="Arial" w:cs="Arial"/>
          <w:sz w:val="24"/>
          <w:szCs w:val="24"/>
          <w:lang w:val="ru-RU"/>
        </w:rPr>
        <w:t>.</w:t>
      </w:r>
    </w:p>
    <w:p>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xml:space="preserve">2. Признать утратившим силу Постановление администрации Заславского муниципального образования № </w:t>
      </w:r>
      <w:r>
        <w:rPr>
          <w:rFonts w:hint="default" w:ascii="Arial" w:hAnsi="Arial" w:eastAsia="Times New Roman" w:cs="Arial"/>
          <w:color w:val="000000"/>
          <w:sz w:val="24"/>
          <w:szCs w:val="24"/>
          <w:lang w:val="en-US" w:eastAsia="ru-RU"/>
        </w:rPr>
        <w:t>7</w:t>
      </w:r>
      <w:r>
        <w:rPr>
          <w:rFonts w:ascii="Arial" w:hAnsi="Arial" w:eastAsia="Times New Roman" w:cs="Arial"/>
          <w:color w:val="000000"/>
          <w:sz w:val="24"/>
          <w:szCs w:val="24"/>
          <w:lang w:eastAsia="ru-RU"/>
        </w:rPr>
        <w:t xml:space="preserve"> от 2</w:t>
      </w:r>
      <w:r>
        <w:rPr>
          <w:rFonts w:hint="default" w:ascii="Arial" w:hAnsi="Arial" w:eastAsia="Times New Roman" w:cs="Arial"/>
          <w:color w:val="000000"/>
          <w:sz w:val="24"/>
          <w:szCs w:val="24"/>
          <w:lang w:val="en-US" w:eastAsia="ru-RU"/>
        </w:rPr>
        <w:t>9</w:t>
      </w:r>
      <w:r>
        <w:rPr>
          <w:rFonts w:ascii="Arial" w:hAnsi="Arial" w:eastAsia="Times New Roman" w:cs="Arial"/>
          <w:color w:val="000000"/>
          <w:sz w:val="24"/>
          <w:szCs w:val="24"/>
          <w:lang w:eastAsia="ru-RU"/>
        </w:rPr>
        <w:t>.0</w:t>
      </w:r>
      <w:r>
        <w:rPr>
          <w:rFonts w:hint="default" w:ascii="Arial" w:hAnsi="Arial" w:eastAsia="Times New Roman" w:cs="Arial"/>
          <w:color w:val="000000"/>
          <w:sz w:val="24"/>
          <w:szCs w:val="24"/>
          <w:lang w:val="en-US" w:eastAsia="ru-RU"/>
        </w:rPr>
        <w:t>1</w:t>
      </w:r>
      <w:r>
        <w:rPr>
          <w:rFonts w:ascii="Arial" w:hAnsi="Arial" w:eastAsia="Times New Roman" w:cs="Arial"/>
          <w:color w:val="000000"/>
          <w:sz w:val="24"/>
          <w:szCs w:val="24"/>
          <w:lang w:eastAsia="ru-RU"/>
        </w:rPr>
        <w:t>.20</w:t>
      </w:r>
      <w:r>
        <w:rPr>
          <w:rFonts w:hint="default" w:ascii="Arial" w:hAnsi="Arial" w:eastAsia="Times New Roman" w:cs="Arial"/>
          <w:color w:val="000000"/>
          <w:sz w:val="24"/>
          <w:szCs w:val="24"/>
          <w:lang w:val="en-US" w:eastAsia="ru-RU"/>
        </w:rPr>
        <w:t>21</w:t>
      </w:r>
      <w:r>
        <w:rPr>
          <w:rFonts w:ascii="Arial" w:hAnsi="Arial" w:eastAsia="Times New Roman" w:cs="Arial"/>
          <w:color w:val="000000"/>
          <w:sz w:val="24"/>
          <w:szCs w:val="24"/>
          <w:lang w:eastAsia="ru-RU"/>
        </w:rPr>
        <w:t xml:space="preserve">г. «Об утверждении </w:t>
      </w:r>
      <w:r>
        <w:rPr>
          <w:rFonts w:ascii="Arial" w:hAnsi="Arial" w:cs="Arial"/>
          <w:sz w:val="24"/>
          <w:szCs w:val="24"/>
        </w:rPr>
        <w:t>Положени</w:t>
      </w:r>
      <w:r>
        <w:rPr>
          <w:rFonts w:ascii="Arial" w:hAnsi="Arial" w:cs="Arial"/>
          <w:sz w:val="24"/>
          <w:szCs w:val="24"/>
          <w:lang w:val="ru-RU"/>
        </w:rPr>
        <w:t>я</w:t>
      </w:r>
      <w:bookmarkStart w:id="0" w:name="_GoBack"/>
      <w:bookmarkEnd w:id="0"/>
      <w:r>
        <w:rPr>
          <w:rFonts w:ascii="Arial" w:hAnsi="Arial" w:cs="Arial"/>
          <w:sz w:val="24"/>
          <w:szCs w:val="24"/>
        </w:rPr>
        <w:t xml:space="preserve"> об оценке коррупционных рисков, возникающих при реализации администрацией Заславского муниципального образования и муниципальными служащими структурных подразделений администрации Заславского муниципального образования своих функций</w:t>
      </w:r>
      <w:r>
        <w:rPr>
          <w:rFonts w:ascii="Arial" w:hAnsi="Arial" w:eastAsia="Times New Roman" w:cs="Arial"/>
          <w:color w:val="000000"/>
          <w:sz w:val="24"/>
          <w:szCs w:val="24"/>
          <w:lang w:eastAsia="ru-RU"/>
        </w:rPr>
        <w:t>»</w:t>
      </w:r>
    </w:p>
    <w:p>
      <w:pPr>
        <w:shd w:val="clear" w:color="auto" w:fill="FFFFFF"/>
        <w:spacing w:after="0" w:line="240" w:lineRule="auto"/>
        <w:ind w:firstLine="709"/>
        <w:jc w:val="both"/>
        <w:textAlignment w:val="baseline"/>
        <w:outlineLvl w:val="0"/>
        <w:rPr>
          <w:rFonts w:ascii="Arial" w:hAnsi="Arial" w:cs="Arial"/>
          <w:sz w:val="24"/>
          <w:szCs w:val="24"/>
          <w:lang w:eastAsia="ru-RU"/>
        </w:rPr>
      </w:pPr>
      <w:r>
        <w:rPr>
          <w:rFonts w:ascii="Arial" w:hAnsi="Arial" w:eastAsia="Times New Roman" w:cs="Arial"/>
          <w:color w:val="000000"/>
          <w:spacing w:val="2"/>
          <w:sz w:val="24"/>
          <w:szCs w:val="24"/>
          <w:lang w:eastAsia="ru-RU"/>
        </w:rPr>
        <w:t xml:space="preserve">3. </w:t>
      </w:r>
      <w:r>
        <w:rPr>
          <w:rFonts w:ascii="Arial" w:hAnsi="Arial" w:cs="Arial"/>
          <w:sz w:val="24"/>
          <w:szCs w:val="24"/>
        </w:rPr>
        <w:t>Настоящее постановление опубликовать в газете «Вестник Заславска» и на официальном сайте администрации Заславского муниципального образования</w:t>
      </w:r>
      <w:r>
        <w:rPr>
          <w:rFonts w:ascii="Arial" w:hAnsi="Arial" w:cs="Arial"/>
          <w:sz w:val="24"/>
          <w:szCs w:val="24"/>
          <w:lang w:eastAsia="ru-RU"/>
        </w:rPr>
        <w:t>.</w:t>
      </w:r>
    </w:p>
    <w:p>
      <w:pPr>
        <w:shd w:val="clear" w:color="auto" w:fill="FFFFFF"/>
        <w:spacing w:after="0" w:line="240" w:lineRule="auto"/>
        <w:ind w:firstLine="709"/>
        <w:jc w:val="both"/>
        <w:textAlignment w:val="baseline"/>
        <w:outlineLvl w:val="0"/>
        <w:rPr>
          <w:rFonts w:ascii="Arial" w:hAnsi="Arial" w:eastAsia="Times New Roman" w:cs="Arial"/>
          <w:color w:val="000000"/>
          <w:spacing w:val="2"/>
          <w:sz w:val="24"/>
          <w:szCs w:val="24"/>
          <w:lang w:eastAsia="ru-RU"/>
        </w:rPr>
      </w:pPr>
      <w:r>
        <w:rPr>
          <w:rFonts w:ascii="Arial" w:hAnsi="Arial" w:eastAsia="Times New Roman" w:cs="Arial"/>
          <w:color w:val="000000"/>
          <w:spacing w:val="2"/>
          <w:sz w:val="24"/>
          <w:szCs w:val="24"/>
          <w:lang w:eastAsia="ru-RU"/>
        </w:rPr>
        <w:t>4. Настоящее постановление вступает в силу со дня его официального опубликования.</w:t>
      </w:r>
    </w:p>
    <w:p>
      <w:pPr>
        <w:shd w:val="clear" w:color="auto" w:fill="FFFFFF"/>
        <w:spacing w:after="0" w:line="240" w:lineRule="auto"/>
        <w:ind w:firstLine="709"/>
        <w:jc w:val="both"/>
        <w:textAlignment w:val="baseline"/>
        <w:outlineLvl w:val="0"/>
        <w:rPr>
          <w:rFonts w:ascii="Arial" w:hAnsi="Arial" w:eastAsia="Times New Roman" w:cs="Arial"/>
          <w:color w:val="000000"/>
          <w:spacing w:val="2"/>
          <w:sz w:val="24"/>
          <w:szCs w:val="24"/>
          <w:lang w:eastAsia="ru-RU"/>
        </w:rPr>
      </w:pPr>
    </w:p>
    <w:p>
      <w:pPr>
        <w:pStyle w:val="6"/>
        <w:contextualSpacing/>
        <w:jc w:val="center"/>
        <w:rPr>
          <w:rFonts w:ascii="Arial" w:hAnsi="Arial" w:eastAsia="Times New Roman" w:cs="Arial"/>
          <w:b/>
          <w:sz w:val="24"/>
          <w:szCs w:val="24"/>
          <w:lang w:eastAsia="ru-RU"/>
        </w:rPr>
      </w:pPr>
    </w:p>
    <w:p>
      <w:pPr>
        <w:pStyle w:val="7"/>
        <w:rPr>
          <w:rFonts w:ascii="Arial" w:hAnsi="Arial" w:cs="Arial"/>
          <w:sz w:val="24"/>
          <w:szCs w:val="24"/>
        </w:rPr>
      </w:pPr>
      <w:r>
        <w:rPr>
          <w:rFonts w:ascii="Arial" w:hAnsi="Arial" w:cs="Arial"/>
          <w:sz w:val="24"/>
          <w:szCs w:val="24"/>
        </w:rPr>
        <w:t>Глава Заславского муниципального образования:</w:t>
      </w:r>
    </w:p>
    <w:p>
      <w:pPr>
        <w:pStyle w:val="7"/>
        <w:rPr>
          <w:rFonts w:ascii="Arial" w:hAnsi="Arial" w:cs="Arial"/>
          <w:sz w:val="24"/>
          <w:szCs w:val="24"/>
        </w:rPr>
      </w:pPr>
      <w:r>
        <w:rPr>
          <w:rFonts w:ascii="Arial" w:hAnsi="Arial" w:cs="Arial"/>
          <w:sz w:val="24"/>
          <w:szCs w:val="24"/>
        </w:rPr>
        <w:t>Е.М. Покладок</w:t>
      </w:r>
    </w:p>
    <w:p>
      <w:pPr>
        <w:pStyle w:val="7"/>
        <w:rPr>
          <w:rFonts w:ascii="Arial" w:hAnsi="Arial" w:cs="Arial"/>
          <w:sz w:val="24"/>
          <w:szCs w:val="24"/>
        </w:rPr>
      </w:pPr>
    </w:p>
    <w:p>
      <w:pPr>
        <w:pStyle w:val="7"/>
        <w:rPr>
          <w:rFonts w:ascii="Arial" w:hAnsi="Arial" w:cs="Arial"/>
          <w:sz w:val="24"/>
          <w:szCs w:val="24"/>
        </w:rPr>
      </w:pPr>
    </w:p>
    <w:p>
      <w:pPr>
        <w:pStyle w:val="7"/>
        <w:rPr>
          <w:rFonts w:ascii="Arial" w:hAnsi="Arial" w:cs="Arial"/>
          <w:sz w:val="24"/>
          <w:szCs w:val="24"/>
        </w:rPr>
      </w:pPr>
    </w:p>
    <w:p>
      <w:pPr>
        <w:pStyle w:val="7"/>
        <w:rPr>
          <w:rFonts w:ascii="Arial" w:hAnsi="Arial" w:cs="Arial"/>
          <w:sz w:val="24"/>
          <w:szCs w:val="24"/>
        </w:rPr>
      </w:pPr>
    </w:p>
    <w:p>
      <w:pPr>
        <w:pStyle w:val="7"/>
        <w:rPr>
          <w:rFonts w:ascii="Arial" w:hAnsi="Arial" w:cs="Arial"/>
          <w:sz w:val="24"/>
          <w:szCs w:val="24"/>
        </w:rPr>
      </w:pPr>
    </w:p>
    <w:p>
      <w:pPr>
        <w:pStyle w:val="7"/>
        <w:rPr>
          <w:rFonts w:ascii="Arial" w:hAnsi="Arial" w:cs="Arial"/>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jc w:val="right"/>
        <w:textAlignment w:val="auto"/>
        <w:rPr>
          <w:rFonts w:ascii="Arial" w:hAnsi="Arial" w:cs="Arial"/>
          <w:bCs/>
        </w:rPr>
      </w:pPr>
      <w:r>
        <w:rPr>
          <w:rFonts w:ascii="Arial" w:hAnsi="Arial" w:cs="Arial"/>
          <w:bCs/>
        </w:rPr>
        <w:t>Приложение 1</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jc w:val="right"/>
        <w:textAlignment w:val="auto"/>
        <w:rPr>
          <w:rFonts w:ascii="Arial" w:hAnsi="Arial" w:cs="Arial"/>
          <w:bCs/>
        </w:rPr>
      </w:pPr>
      <w:r>
        <w:rPr>
          <w:rFonts w:ascii="Arial" w:hAnsi="Arial" w:cs="Arial"/>
          <w:bCs/>
        </w:rPr>
        <w:t>к постановлению администрации</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jc w:val="right"/>
        <w:textAlignment w:val="auto"/>
        <w:rPr>
          <w:rFonts w:ascii="Arial" w:hAnsi="Arial" w:cs="Arial"/>
          <w:bCs/>
        </w:rPr>
      </w:pPr>
      <w:r>
        <w:rPr>
          <w:rFonts w:ascii="Arial" w:hAnsi="Arial" w:cs="Arial"/>
          <w:bCs/>
        </w:rPr>
        <w:t>Заславского муниципального образования</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jc w:val="right"/>
        <w:textAlignment w:val="auto"/>
        <w:rPr>
          <w:rFonts w:hint="default" w:ascii="Arial" w:hAnsi="Arial" w:cs="Arial"/>
          <w:bCs/>
          <w:lang w:val="ru-RU"/>
        </w:rPr>
      </w:pPr>
      <w:r>
        <w:rPr>
          <w:rFonts w:ascii="Arial" w:hAnsi="Arial" w:cs="Arial"/>
          <w:bCs/>
        </w:rPr>
        <w:t>от 2</w:t>
      </w:r>
      <w:r>
        <w:rPr>
          <w:rFonts w:hint="default" w:ascii="Arial" w:hAnsi="Arial" w:cs="Arial"/>
          <w:bCs/>
          <w:lang w:val="ru-RU"/>
        </w:rPr>
        <w:t>0</w:t>
      </w:r>
      <w:r>
        <w:rPr>
          <w:rFonts w:ascii="Arial" w:hAnsi="Arial" w:cs="Arial"/>
          <w:bCs/>
        </w:rPr>
        <w:t>.0</w:t>
      </w:r>
      <w:r>
        <w:rPr>
          <w:rFonts w:hint="default" w:ascii="Arial" w:hAnsi="Arial" w:cs="Arial"/>
          <w:bCs/>
          <w:lang w:val="ru-RU"/>
        </w:rPr>
        <w:t>5</w:t>
      </w:r>
      <w:r>
        <w:rPr>
          <w:rFonts w:ascii="Arial" w:hAnsi="Arial" w:cs="Arial"/>
          <w:bCs/>
        </w:rPr>
        <w:t xml:space="preserve">.2021 г.№ </w:t>
      </w:r>
      <w:r>
        <w:rPr>
          <w:rFonts w:hint="default" w:ascii="Arial" w:hAnsi="Arial" w:cs="Arial"/>
          <w:bCs/>
          <w:lang w:val="ru-RU"/>
        </w:rPr>
        <w:t>18</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40" w:lineRule="auto"/>
        <w:jc w:val="right"/>
        <w:textAlignment w:val="auto"/>
        <w:rPr>
          <w:rFonts w:ascii="Arial" w:hAnsi="Arial" w:cs="Arial"/>
          <w:bCs/>
        </w:rPr>
      </w:pP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center"/>
        <w:textAlignment w:val="auto"/>
        <w:rPr>
          <w:rFonts w:ascii="Arial" w:hAnsi="Arial" w:cs="Arial" w:eastAsiaTheme="minorEastAsia"/>
          <w:b/>
          <w:bCs/>
          <w:sz w:val="32"/>
          <w:szCs w:val="32"/>
        </w:rPr>
      </w:pPr>
      <w:r>
        <w:rPr>
          <w:rFonts w:ascii="Arial" w:hAnsi="Arial" w:cs="Arial" w:eastAsiaTheme="minorEastAsia"/>
          <w:b/>
          <w:bCs/>
          <w:sz w:val="32"/>
          <w:szCs w:val="32"/>
        </w:rPr>
        <w:t>Положение</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center"/>
        <w:textAlignment w:val="auto"/>
        <w:rPr>
          <w:rFonts w:ascii="Arial" w:hAnsi="Arial" w:cs="Arial" w:eastAsiaTheme="minorEastAsia"/>
          <w:b/>
          <w:bCs/>
          <w:sz w:val="32"/>
          <w:szCs w:val="32"/>
        </w:rPr>
      </w:pPr>
      <w:r>
        <w:rPr>
          <w:rFonts w:ascii="Arial" w:hAnsi="Arial" w:cs="Arial" w:eastAsiaTheme="minorEastAsia"/>
          <w:b/>
          <w:bCs/>
          <w:sz w:val="32"/>
          <w:szCs w:val="32"/>
        </w:rPr>
        <w:t>об оценке коррупционных рисков, возникающих при реализации администрацией Заславского муниципального образования и муниципальными служащими структурных подразделений администрации Заславского муниципального образования своих функций</w:t>
      </w:r>
    </w:p>
    <w:p>
      <w:pPr>
        <w:widowControl w:val="0"/>
        <w:autoSpaceDE w:val="0"/>
        <w:autoSpaceDN w:val="0"/>
        <w:adjustRightInd w:val="0"/>
        <w:contextualSpacing/>
        <w:jc w:val="center"/>
        <w:rPr>
          <w:rFonts w:ascii="Arial" w:hAnsi="Arial" w:cs="Arial" w:eastAsiaTheme="minorEastAsia"/>
          <w:sz w:val="30"/>
          <w:szCs w:val="30"/>
        </w:rPr>
      </w:pP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I. Общие положения</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 xml:space="preserve">1. </w:t>
      </w:r>
      <w:r>
        <w:rPr>
          <w:rFonts w:ascii="Arial" w:hAnsi="Arial" w:cs="Arial"/>
          <w:sz w:val="24"/>
          <w:szCs w:val="24"/>
        </w:rPr>
        <w:t xml:space="preserve"> Положение об оценке коррупционных рисков, возникающих при реализации администрацией Заславского муниципального образования и муниципальными служащими структурных подразделений администрации Заславского муниципального образования своих функций</w:t>
      </w:r>
      <w:r>
        <w:rPr>
          <w:rFonts w:hint="default" w:ascii="Arial" w:hAnsi="Arial" w:cs="Arial"/>
          <w:sz w:val="24"/>
          <w:szCs w:val="24"/>
          <w:lang w:val="ru-RU"/>
        </w:rPr>
        <w:t xml:space="preserve"> (далее - Положение) </w:t>
      </w:r>
      <w:r>
        <w:rPr>
          <w:rFonts w:ascii="Arial" w:hAnsi="Arial" w:cs="Arial" w:eastAsiaTheme="minorEastAsia"/>
        </w:rPr>
        <w:t>разработано на основании</w:t>
      </w:r>
      <w:r>
        <w:rPr>
          <w:rFonts w:ascii="Arial" w:hAnsi="Arial" w:cs="Arial"/>
        </w:rPr>
        <w:t xml:space="preserve"> Федерального закона от 25 декабря 2008 года № 273-ФЗ «О противодействии коррупции»,</w:t>
      </w:r>
      <w:r>
        <w:rPr>
          <w:rFonts w:ascii="Arial" w:hAnsi="Arial" w:cs="Arial" w:eastAsiaTheme="minorEastAsia"/>
        </w:rPr>
        <w:t xml:space="preserve"> Методических рекомендаций Министерства труда и социальной защиты Российской Федерации по проведению оценки коррупционных рисков, возникающих при реализации функций, и устанавливает порядок определения потенциально наиболее коррупционно опасных функций администрации</w:t>
      </w:r>
      <w:r>
        <w:rPr>
          <w:rFonts w:hint="default" w:ascii="Arial" w:hAnsi="Arial" w:cs="Arial" w:eastAsiaTheme="minorEastAsia"/>
          <w:lang w:val="ru-RU"/>
        </w:rPr>
        <w:t xml:space="preserve"> Заславского муниципального образования (далее - администрация)</w:t>
      </w:r>
      <w:r>
        <w:rPr>
          <w:rFonts w:ascii="Arial" w:hAnsi="Arial" w:cs="Arial" w:eastAsiaTheme="minorEastAsia"/>
        </w:rPr>
        <w:t>; коррупциогенных должностей администрации; потенциальных коррупционных возможностей лиц, замещающих должности муниципальной службы в администрации (далее - муниципальных служащих) при выполнении коррупционно опасных функций; мер по минимизации (устранению) коррупционных рисков.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В целях реализации настоящего Положения используются следующие основные понятия: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карта коррупционных рисков - документ, устанавливающий (приложение 2):</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а) потенциально наиболее коррупционно опасные функции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б) перечень коррупциогенных должностей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в) потенциальные коррупционные возможности муниципальных служащих при выполнении коррупционно опасных функций;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г) меры по минимизации (устранению) коррупционных рисков;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коррупционные риски - это условия и обстоятельства, предоставляющие возможность для действий (бездействия) муниципальных служащих администрации с целью незаконного извлечения выгоды при выполнении своих должностных полномочий;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оценка коррупционных рисков - определение, выявление и установление значимости условий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аффилированных лиц выгоды материального характера (имущество, услуги или льготы), а также иной (нематериальной) выгоды вопреки законным интересам общества и государства.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соответствия реализуемых мер по противодействию коррупции реальным или вероятным способам совершения коррупционных правонарушений, тем самым увеличивая действенность антикоррупционных мероприятий, повышая эффективность использования выделяемых на них кадровых, финансовых и иных ресурсов;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формирования обоснованного перечня должностей, замещение которых связано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II. Порядок и этапы оценки коррупционных рисков</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Решение о проведении оценки коррупционных рисков принимается</w:t>
      </w:r>
      <w:r>
        <w:rPr>
          <w:rFonts w:hint="default" w:ascii="Arial" w:hAnsi="Arial" w:cs="Arial" w:eastAsiaTheme="minorEastAsia"/>
          <w:lang w:val="ru-RU"/>
        </w:rPr>
        <w:t xml:space="preserve"> главой администрации</w:t>
      </w:r>
      <w:r>
        <w:rPr>
          <w:rFonts w:ascii="Arial" w:hAnsi="Arial" w:cs="Arial" w:eastAsiaTheme="minorEastAsia"/>
        </w:rPr>
        <w:t xml:space="preserve"> </w:t>
      </w:r>
      <w:r>
        <w:rPr>
          <w:rFonts w:ascii="Arial" w:hAnsi="Arial" w:cs="Arial"/>
        </w:rPr>
        <w:t>и оформляется распоряжением администрации на основании решения рабочей группы, принятом в соответствии с Положением о рабочей группе, утвержденным распоряжением администрации</w:t>
      </w:r>
      <w:r>
        <w:rPr>
          <w:rFonts w:ascii="Arial" w:hAnsi="Arial" w:cs="Arial" w:eastAsiaTheme="minorEastAsia"/>
        </w:rPr>
        <w:t>. В распоряжении указываются сроки проведения оценки, назначаются лица, ответственные за проведение оценки коррупционных рисков, утверждается состав рабочей группы.</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В состав рабочей группы по проведению оценки коррупционных рисков включаются представители профильных структурных подразделений администрации, консультант по правовым вопросам администрации, члены комиссии по соблюдению требований к служебному поведению и урегулированию конфликта интересов, а также, по согласованию, представители органов исполнительной власти Иркутской области.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К проведению оценки коррупционных рисков могут привлекаться внешние эксперты и представители правоохранительных органов, представители институтов гражданского общества.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 xml:space="preserve">6. Заседание рабочей группы проводится не реже одного раза в год, а также по мере необходимости. Целью таких заседаний является выявление необходимости проведения оценки коррупционных рисков, внесение изменений в карту коррупционных рисков, оценка эффективности реализуемых мер по минимизации выявленных коррупционных рисков и иные вопросы по компетенции рабочей группы. Результаты работы рабочей группы представляются </w:t>
      </w:r>
      <w:r>
        <w:rPr>
          <w:rFonts w:ascii="Arial" w:hAnsi="Arial" w:cs="Arial" w:eastAsiaTheme="minorEastAsia"/>
          <w:lang w:val="ru-RU"/>
        </w:rPr>
        <w:t>главе</w:t>
      </w:r>
      <w:r>
        <w:rPr>
          <w:rFonts w:ascii="Arial" w:hAnsi="Arial" w:cs="Arial" w:eastAsiaTheme="minorEastAsia"/>
        </w:rPr>
        <w:t xml:space="preserve"> </w:t>
      </w:r>
      <w:r>
        <w:rPr>
          <w:rFonts w:ascii="Arial" w:hAnsi="Arial" w:cs="Arial" w:eastAsiaTheme="minorEastAsia"/>
          <w:lang w:val="ru-RU"/>
        </w:rPr>
        <w:t>администрации</w:t>
      </w:r>
      <w:r>
        <w:rPr>
          <w:rFonts w:ascii="Arial" w:hAnsi="Arial" w:cs="Arial" w:eastAsiaTheme="minorEastAsia"/>
        </w:rPr>
        <w:t xml:space="preserve"> в виде докладов.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Рабочая группа осуществляет следующие функции: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разработка и участие в реализации карты коррупционных рисков и мер по их минимизации;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координация деятельности структурных подразделений администрации по устранению причин коррупции и условий им способствующих, выявление проявлений фактов коррупции;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внесение предложений, направленных на реализацию мероприятий по устранению причин и условий, способствующих совершению коррупционных правонарушений;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выработка рекомендаций для практического использования по предотвращению и профилактике коррупционных правонарушений;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взаимодействие с представителями правоохранительных органов, институтов гражданского общества и СМИ по реализации мер, направленных на предупреждение фактов коррупции и выявление коррупционных рисков;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6) планирование деятельности администрации по реализации мер по противодействию коррупции;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внесение предложений по совершенствованию деятельности в сфере противодействия коррупции, а также участие в подготовке проектов локальных актов по вопросам, относящимся к компетенции рабочей группы;</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8) участие в разработке форм и методов осуществления антикоррупционной деятельности и контроля их реализации.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8. Определение перечня функций администрации, при реализации которых наиболее вероятно возникновение коррупции (далее - коррупционно опасные функции), осуществляется посредством выделения тех функций, при реализации которых существуют предпосылки для возникновения коррупции.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9. К коррупционно опасным функциям администрации относятся функции по муниципальному контролю, управлению муниципальным имуществом, оказанию муниципальных услуг, а также разрешительные, регистрационные функции.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Под функциями по муниципальному контролю понимается осуществление администрацией и (или) уполномоченными структурными подразделениями администрации полномочий органов местного самоуправления муниципального района по контролю за исполнением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 в том числе переданного муниципальным унитарным предприятиям, муниципальным казенным предприятиям и учреждениям.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Иркутской области, муниципальными правовыми актами полномочий.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10. Определение перечня коррупционно опасных функций осуществляется на основе анализа функций администрации, установленных в отношении органов местного самоуправления федеральными законами, законами Иркутской области,</w:t>
      </w:r>
      <w:r>
        <w:rPr>
          <w:rFonts w:ascii="Arial" w:hAnsi="Arial" w:cs="Arial"/>
        </w:rPr>
        <w:t xml:space="preserve"> Уставом</w:t>
      </w:r>
      <w:r>
        <w:rPr>
          <w:rFonts w:ascii="Arial" w:hAnsi="Arial" w:cs="Arial" w:eastAsiaTheme="minorEastAsia"/>
        </w:rPr>
        <w:t xml:space="preserve"> </w:t>
      </w:r>
      <w:r>
        <w:rPr>
          <w:rFonts w:ascii="Arial" w:hAnsi="Arial" w:cs="Arial" w:eastAsiaTheme="minorEastAsia"/>
          <w:lang w:val="ru-RU"/>
        </w:rPr>
        <w:t>администрации</w:t>
      </w:r>
      <w:r>
        <w:rPr>
          <w:rFonts w:hint="default" w:ascii="Arial" w:hAnsi="Arial" w:cs="Arial" w:eastAsiaTheme="minorEastAsia"/>
          <w:lang w:val="ru-RU"/>
        </w:rPr>
        <w:t xml:space="preserve"> Заславского </w:t>
      </w:r>
      <w:r>
        <w:rPr>
          <w:rFonts w:ascii="Arial" w:hAnsi="Arial" w:cs="Arial"/>
        </w:rPr>
        <w:t>муниципального образования</w:t>
      </w:r>
      <w:r>
        <w:rPr>
          <w:rFonts w:ascii="Arial" w:hAnsi="Arial" w:cs="Arial" w:eastAsiaTheme="minorEastAsia"/>
        </w:rPr>
        <w:t>, положениями о структурных подразделениях администрации, иными муниципальными правовыми актами.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11. Информация о том, что при реализации той или иной функции возникают коррупционные риски (т.е. функция является коррупционно опасной), может быть выявлена путем анализа различного рода информации, поступающей как из внутренних, так и из внешних источников.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К внутренним источникам информации относятся следующие:</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нормативные правовые акты (при анализе нормативных правовых актов необходимо, в частности, оценить положения, касающиеся функций администрации, связанные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локальные нормативные акты (анализ организационной структуры администрации, в том числе должностных обязанностей муниципальных служащих при осуществлении административных процедур (действий));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иные внутренние источники, к которым можно отнести протоколы заседания комиссии по соблюдению требований к служебному поведению и урегулированию конфликта интересов (аттестационной комиссии), материалы служебных проверок, результаты опроса уполномоченных должностных лиц, служащих (работников), уведомления представителя нанимателя о фактах обращения в целях склонения служащего (работника) к совершению коррупционных правонарушений и др.</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К внешним источникам информации относятся следующие:</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результаты опроса подконтрольных субъектов, получателей услуг, экспертов, представителей институтов гражданского общества и иных заинтересованных лиц;</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социологические исследования, проводимые администрацией или сторонними исследовательскими организациями;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статистические данные о правонарушениях в сфере деятельности администрации и (или) ее должностных лиц;</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обращения граждан и организаций, содержащие информацию о коррупционных правонарушениях, в том числе обращения, поступившие на «горячую линию», «электронную приемную» и т.д.;</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сообщения в СМИ о коррупционных правонарушениях или фактах несоблюдения служащими (работниками) требований к служебному поведению;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6) материалы, представленные правоохранительными органами, иными органами (организациями) и их должностными лицами, включая акты прокурорского реагирования, материалы уголовных дел, материалы, представляемые органами следствия и др.;</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материалы, представленные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и из других источников.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12. По итогам реализации вышеизложенных мероприятий администрацией формируется и утверждается перечень коррупционно опасных функций.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13. Основаниями для внесения изменений (дополнений) в перечень коррупционно 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14. В целях рационального расходования ресурсов возможно выделение отдельных наиболее коррупционноемких административных процедур (действий), в отношении которых меры по минимизации коррупционных рисков будут реализованы в первую очередь. Для этого следует оценить коррупционные риски с точки зрения их значимости для администрации, государства и общества.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15. Значимость коррупционных рисков определяется сочетанием рассчитанных параметров: вероятности реализации коррупционного риска (вероятность) и возможного вреда от его реализации (вред).</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Вероятность реализации коррупционного риска определяется, в первую очередь, характеристикой и количеством коррупциогенных факторов, т.е. обстоятельств, увеличивающих вероятность совершения коррупционных правонарушений.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В зависимости от вероятности возникновения риск может быть:</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незначительной вероятности возникновения (низкая вероятность) - риск может возникнуть в чрезвычайных обстоятельствах или маловероятен;</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средней вероятности возникновения (средняя вероятность) - риск может возникнуть при определенном стечении обстоятельств;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повышенной вероятности возникновения (высокая вероятность) - риск ожидаем при нормальном развитии событий.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16. Необходимо оценить возможный вред от реализации коррупционного риска. При этом приоритетное внимание следует уделить таким видам вреда (ущерба), как:</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вред жизни и здоровью граждан;</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вред национальной безопасности и обороноспособности государства;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вред окружающей среде;</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материальный ущерб;</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репутационный ущерб администрации, резонансные судебные разбирательства, многочисленные жалобы и претензии со стороны граждан и организаций.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17. В зависимости от эффекта риски могут быть следующими: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незначительный - риск незначительно влияет на охраняемые законом ценности;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умеренный - риск, который, если не будет пресечен, может значительно повлиять на охраняемые законом ценности;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значительный - риск, последствия которого могут повлечь значительные финансовые убытки, помешать успеху деятельности или эффективному функционированию администрации, государства и общества.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В случае если реализация коррупционного риска может повлечь вред жизни и здоровью граждан, нанести ущерб национальной безопасности и обороноспособности государства и (или) окружающей среде, такой потенциальный вред следует оценивать как значительный.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18. Одним из возможных способов оценки значимости коррупционного риска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Матрица оценки значимости коррупционных рисков</w:t>
      </w:r>
    </w:p>
    <w:p>
      <w:pPr>
        <w:widowControl w:val="0"/>
        <w:autoSpaceDE w:val="0"/>
        <w:autoSpaceDN w:val="0"/>
        <w:adjustRightInd w:val="0"/>
        <w:contextualSpacing/>
        <w:jc w:val="both"/>
        <w:rPr>
          <w:rFonts w:ascii="Arial" w:hAnsi="Arial" w:cs="Arial" w:eastAsiaTheme="minorEastAsia"/>
        </w:rPr>
      </w:pPr>
    </w:p>
    <w:tbl>
      <w:tblPr>
        <w:tblStyle w:val="3"/>
        <w:tblpPr w:leftFromText="180" w:rightFromText="180" w:vertAnchor="text" w:horzAnchor="margin" w:tblpX="62" w:tblpY="-25"/>
        <w:tblW w:w="9418" w:type="dxa"/>
        <w:tblInd w:w="0" w:type="dxa"/>
        <w:tblLayout w:type="fixed"/>
        <w:tblCellMar>
          <w:top w:w="102" w:type="dxa"/>
          <w:left w:w="62" w:type="dxa"/>
          <w:bottom w:w="102" w:type="dxa"/>
          <w:right w:w="62" w:type="dxa"/>
        </w:tblCellMar>
      </w:tblPr>
      <w:tblGrid>
        <w:gridCol w:w="1918"/>
        <w:gridCol w:w="1843"/>
        <w:gridCol w:w="1701"/>
        <w:gridCol w:w="1843"/>
        <w:gridCol w:w="2113"/>
      </w:tblGrid>
      <w:tr>
        <w:tblPrEx>
          <w:tblCellMar>
            <w:top w:w="102" w:type="dxa"/>
            <w:left w:w="62" w:type="dxa"/>
            <w:bottom w:w="102" w:type="dxa"/>
            <w:right w:w="62" w:type="dxa"/>
          </w:tblCellMar>
        </w:tblPrEx>
        <w:tc>
          <w:tcPr>
            <w:tcW w:w="191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Arial" w:hAnsi="Arial" w:cs="Arial"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Arial" w:hAnsi="Arial" w:cs="Arial" w:eastAsiaTheme="minorEastAsia"/>
              </w:rPr>
            </w:pPr>
          </w:p>
        </w:tc>
        <w:tc>
          <w:tcPr>
            <w:tcW w:w="5657" w:type="dxa"/>
            <w:gridSpan w:val="3"/>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Вероятность реализации коррупционного риска</w:t>
            </w:r>
          </w:p>
        </w:tc>
      </w:tr>
      <w:tr>
        <w:tblPrEx>
          <w:tblCellMar>
            <w:top w:w="102" w:type="dxa"/>
            <w:left w:w="62" w:type="dxa"/>
            <w:bottom w:w="102" w:type="dxa"/>
            <w:right w:w="62" w:type="dxa"/>
          </w:tblCellMar>
        </w:tblPrEx>
        <w:tc>
          <w:tcPr>
            <w:tcW w:w="1918"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Потенциальный</w:t>
            </w:r>
          </w:p>
          <w:p>
            <w:pPr>
              <w:widowControl w:val="0"/>
              <w:autoSpaceDE w:val="0"/>
              <w:autoSpaceDN w:val="0"/>
              <w:adjustRightInd w:val="0"/>
              <w:contextualSpacing/>
              <w:jc w:val="both"/>
              <w:rPr>
                <w:rFonts w:ascii="Arial" w:hAnsi="Arial" w:cs="Arial" w:eastAsiaTheme="minorEastAsia"/>
              </w:rPr>
            </w:pPr>
            <w:r>
              <w:rPr>
                <w:rFonts w:ascii="Courier New" w:hAnsi="Courier New" w:cs="Courier New" w:eastAsiaTheme="minorEastAsia"/>
                <w:sz w:val="22"/>
                <w:szCs w:val="22"/>
              </w:rPr>
              <w:t>вред</w:t>
            </w: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rPr>
                <w:rFonts w:ascii="Arial" w:hAnsi="Arial" w:cs="Arial"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Высокая</w:t>
            </w: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Средняя</w:t>
            </w:r>
          </w:p>
        </w:tc>
        <w:tc>
          <w:tcPr>
            <w:tcW w:w="211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Низкая</w:t>
            </w:r>
          </w:p>
        </w:tc>
      </w:tr>
      <w:tr>
        <w:tblPrEx>
          <w:tblCellMar>
            <w:top w:w="102" w:type="dxa"/>
            <w:left w:w="62" w:type="dxa"/>
            <w:bottom w:w="102" w:type="dxa"/>
            <w:right w:w="62" w:type="dxa"/>
          </w:tblCellMar>
        </w:tblPrEx>
        <w:tc>
          <w:tcPr>
            <w:tcW w:w="1918"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firstLine="540"/>
              <w:contextualSpacing/>
              <w:jc w:val="both"/>
              <w:rPr>
                <w:rFonts w:ascii="Arial" w:hAnsi="Arial" w:cs="Arial"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Значительный</w:t>
            </w: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Критический риск</w:t>
            </w: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Существенный риск</w:t>
            </w:r>
          </w:p>
        </w:tc>
        <w:tc>
          <w:tcPr>
            <w:tcW w:w="211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Существенный риск</w:t>
            </w:r>
          </w:p>
        </w:tc>
      </w:tr>
      <w:tr>
        <w:tblPrEx>
          <w:tblCellMar>
            <w:top w:w="102" w:type="dxa"/>
            <w:left w:w="62" w:type="dxa"/>
            <w:bottom w:w="102" w:type="dxa"/>
            <w:right w:w="62" w:type="dxa"/>
          </w:tblCellMar>
        </w:tblPrEx>
        <w:tc>
          <w:tcPr>
            <w:tcW w:w="1918"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firstLine="540"/>
              <w:contextualSpacing/>
              <w:jc w:val="both"/>
              <w:rPr>
                <w:rFonts w:ascii="Arial" w:hAnsi="Arial" w:cs="Arial"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Умеренный</w:t>
            </w: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Существенный риск</w:t>
            </w: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Существенный риск</w:t>
            </w:r>
          </w:p>
        </w:tc>
        <w:tc>
          <w:tcPr>
            <w:tcW w:w="211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Незначительный риск</w:t>
            </w:r>
          </w:p>
        </w:tc>
      </w:tr>
      <w:tr>
        <w:tblPrEx>
          <w:tblCellMar>
            <w:top w:w="102" w:type="dxa"/>
            <w:left w:w="62" w:type="dxa"/>
            <w:bottom w:w="102" w:type="dxa"/>
            <w:right w:w="62" w:type="dxa"/>
          </w:tblCellMar>
        </w:tblPrEx>
        <w:tc>
          <w:tcPr>
            <w:tcW w:w="1918"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firstLine="540"/>
              <w:contextualSpacing/>
              <w:jc w:val="both"/>
              <w:rPr>
                <w:rFonts w:ascii="Arial" w:hAnsi="Arial" w:cs="Arial"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Незначительн-ый</w:t>
            </w:r>
          </w:p>
        </w:tc>
        <w:tc>
          <w:tcPr>
            <w:tcW w:w="170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Существенн-ый риск</w:t>
            </w:r>
          </w:p>
        </w:tc>
        <w:tc>
          <w:tcPr>
            <w:tcW w:w="184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Незначительн-ый риск</w:t>
            </w:r>
          </w:p>
        </w:tc>
        <w:tc>
          <w:tcPr>
            <w:tcW w:w="211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rPr>
                <w:rFonts w:ascii="Courier New" w:hAnsi="Courier New" w:cs="Courier New" w:eastAsiaTheme="minorEastAsia"/>
                <w:sz w:val="22"/>
                <w:szCs w:val="22"/>
              </w:rPr>
            </w:pPr>
            <w:r>
              <w:rPr>
                <w:rFonts w:ascii="Courier New" w:hAnsi="Courier New" w:cs="Courier New" w:eastAsiaTheme="minorEastAsia"/>
                <w:sz w:val="22"/>
                <w:szCs w:val="22"/>
              </w:rPr>
              <w:t>Незначительный риск</w:t>
            </w:r>
          </w:p>
        </w:tc>
      </w:tr>
    </w:tbl>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19.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20.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что является предметом коррупции (за какие действия (бездействия) предоставляется выгода);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какие коррупционные схемы используются.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21. Должности муниципальной службы, которые являются ключевыми для потенциального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22. Признаками, характеризующими коррупционное поведение должностного лица при осуществлении коррупционно опасных функций, могут служить:</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предоставление не предусмотренных законом преимуществ (протекционизм, семейственность) для поступления на муниципальную службу;</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6) требование от физических и юридических лиц информации, предоставление которой не предусмотрено законодательством Российской Федерации;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а также сведения о:</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а)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б)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в) попытках несанкционированного доступа к информационным ресурсам;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г) действиях распорядительного характера, превышающих или не относящихся к должностным (трудовым) полномочиям;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д) бездействии в случаях, требующих принятия решений в соответствии со служебными (трудовыми) обязанностями;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е)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ж) совершении финансово-хозяйственных операций с очевидными (даже не для специалиста) нарушениями действующего законодательства.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23. По итогам реализации вышеизложенных мероприятий администрацией формируется и утверждается перечень должностей, замещение которых связано с коррупционными рисками. К «высокой» степени участия должностных лиц в осуществлении коррупционно опасных функций относятся лица, в должностные обязанности которых входит:</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право решающей подписи;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подготовка и визирование проектов решений;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осуществление контрольных мероприятий (составление акта проверки, выдача предписания об устранении нарушений, контроль за устранением выявленных нарушений и т.п.);</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непосредственное ведение реестров, баз данных, содержащих «коммерчески» значимую информацию;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6) предоставление муниципальных услуг гражданам и организациям;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подготовка и принятие решений о распределении бюджетных ассигнований, субсидий, межбюджетных трансфертов;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8) управление муниципальным имуществом;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9) осуществление муниципальных закупок;</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10) выдача заключений, разрешений;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11) хранение и распределение материально-технических ресурсов.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24.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25. Основаниями для внесения изменений (дополнений) в перечень должностей в администрации, замещение которых связано с коррупционными рисками,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III. Минимизация коррупционных рисков либо их устранение</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в конкретных управленческих процессах реализации</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коррупционно опасных функций</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27.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 Минимизация коррупционных рисков либо их устранение достигается различными методами, в первую очередь, регламентацией административных процедур исполнения соответствующей коррупционно опасной функции, их упрощением либо исключением, установлением препятствий (ограничений), затрудняющих реализацию коррупционных схем.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28. Регламентация административных процедур позволяет снизить степень угрозы возникновения коррупции в связи со следующим: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снижается степень усмотрения должностных лиц при принятии управленческих решений;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обеспечивается единообразное осуществление функций должностными лицами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создается гласная, открытая модель реализации коррупционно опасной функции.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29. В качестве установления препятствий (ограничений), затрудняющих реализацию коррупционных схем, необходимо применять следующие меры:</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перераспределение функций между структурными подразделениями внутри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исключение необходимости личного взаимодействия (общения) должностных лиц с гражданами и организациями;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совершенствование механизма отбора должностных лиц для включения в состав комиссий, рабочих групп, принимающих управленческие решения, включение в состав таких органов представителей общественности;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6) оптимизация перечня документов (материалов, информации), которые граждане (организации) обязаны предоставить для реализации права;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7) сокращение сроков принятия управленческих решений;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8) установление четкой регламентации способа и сроков совершения действий должностным лицом при осуществлении коррупционно опасной функции;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9) установление дополнительных форм отчетности должностных лиц о результатах принятых решений.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30. В целях недопущения совершения должностными лицами коррупционных правонарушений реализация мероприятий, предусмотренных настоящим Положением, необходимо осуществлять на постоянной основе посредством: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использования средств видеонаблюдения и аудиозаписи в местах приема граждан и представителей организаций;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31. Для каждого выявленного коррупционного риска должны быть определены возможные меры по минимизации соответствующих коррупционных рисков.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32.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33. При определении мер по минимизации коррупционных рисков целесообразно руководствоваться следующим:</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каждую меру необходимо сформулировать конкретно, служащие (работники), вовлеченные в процесс ее реализации, должны понимать ее цели и содержание, конечный результат и его связь с минимизацией конкретного коррупционного риска;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для каждой меры должен быть установлен срок или периодичность ее реализации;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для каждой меры должен быть определен ответственный за ее реализацию;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5) реализация каждой меры должна быть подтверждена документально.</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34. Меры по минимизации выявленных коррупционных рисков после их утверждения или одобрения включаются в план противодействия коррупции в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 xml:space="preserve">35. Результаты работы по разработке мер по минимизации выявленных коррупционных рисков представляются </w:t>
      </w:r>
      <w:r>
        <w:rPr>
          <w:rFonts w:ascii="Arial" w:hAnsi="Arial" w:cs="Arial" w:eastAsiaTheme="minorEastAsia"/>
          <w:lang w:val="ru-RU"/>
        </w:rPr>
        <w:t>главе</w:t>
      </w:r>
      <w:r>
        <w:rPr>
          <w:rFonts w:hint="default" w:ascii="Arial" w:hAnsi="Arial" w:cs="Arial" w:eastAsiaTheme="minorEastAsia"/>
          <w:lang w:val="ru-RU"/>
        </w:rPr>
        <w:t xml:space="preserve"> администрации</w:t>
      </w:r>
      <w:r>
        <w:rPr>
          <w:rFonts w:ascii="Arial" w:hAnsi="Arial" w:cs="Arial" w:eastAsiaTheme="minorEastAsia"/>
        </w:rPr>
        <w:t xml:space="preserve"> или уполномоченному им должностному лицу.</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IV. Мониторинг исполнения должностных обязанностей</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муниципальными служащими администрации,</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деятельность которых связана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36. Основными задачами мониторинга исполнения должностных обязанностей муниципальными служащими, деятельность которых связана с коррупционными рисками (далее - мониторинг), являются: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своевременная фиксация отклонения действий должностных лиц от установленных норм, правил служебного поведения;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выявление и анализ факторов, способствующих ненадлежащему исполнению либо превышению должностных полномочий;</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подготовка предложений по минимизации коррупционных рисков либо их устранению в деятельности должностных лиц;</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 корректировка перечня коррупционно опасных функций и перечня должностей в администрации, замещение которых связано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 xml:space="preserve">37. Проведение мониторинга осуществляется </w:t>
      </w:r>
      <w:r>
        <w:rPr>
          <w:rFonts w:ascii="Arial" w:hAnsi="Arial" w:cs="Arial" w:eastAsiaTheme="minorEastAsia"/>
          <w:lang w:val="ru-RU"/>
        </w:rPr>
        <w:t>путём</w:t>
      </w:r>
      <w:r>
        <w:rPr>
          <w:rFonts w:ascii="Arial" w:hAnsi="Arial" w:cs="Arial" w:eastAsiaTheme="minorEastAsia"/>
        </w:rPr>
        <w:t xml:space="preserve"> сбора информации о признаках и фактах коррупционной деятельности должностных лиц.</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Сбор указанной информации может осуществляться в том числе путем проведения опросов на официальном сайте администрации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38. При проведении мониторинга:</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обеспечивается взаимодействие со структурными подразделениями администрации, государственными органами, иными органами и организациями в целях изучения документов, иных материалов.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39. Результатами проведения мониторинга являются:</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1) 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2) 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 опасных функций и перечень должностей в администрации, замещение которых связано с коррупционными рисками;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3) ежегодные доклады руководству администрации о результатах проведения мониторинга.</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V. Оформление и согласование</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результатов оценки коррупционных рисков</w:t>
      </w:r>
    </w:p>
    <w:p>
      <w:pPr>
        <w:widowControl w:val="0"/>
        <w:autoSpaceDE w:val="0"/>
        <w:autoSpaceDN w:val="0"/>
        <w:adjustRightInd w:val="0"/>
        <w:ind w:firstLine="540"/>
        <w:contextualSpacing/>
        <w:jc w:val="both"/>
        <w:rPr>
          <w:rFonts w:ascii="Arial" w:hAnsi="Arial" w:cs="Arial" w:eastAsiaTheme="minorEastAsia"/>
          <w:sz w:val="30"/>
          <w:szCs w:val="30"/>
        </w:rPr>
      </w:pP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40.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коррупционных рисков) в соответствии с приложением к настоящему Положению.</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41.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 К рассмотрению проекта карты коррупционных рисков могут также привлекаться представители заинтересованных институтов гражданского общества, в частности, общественных объединений и организаций, уставными задачами которых является участие в противодействии коррупции.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 xml:space="preserve">42. По результатам проведения экспертной оценки проект карты коррупционных рисков дорабатывается с </w:t>
      </w:r>
      <w:r>
        <w:rPr>
          <w:rFonts w:ascii="Arial" w:hAnsi="Arial" w:cs="Arial" w:eastAsiaTheme="minorEastAsia"/>
          <w:lang w:val="ru-RU"/>
        </w:rPr>
        <w:t>учётом</w:t>
      </w:r>
      <w:r>
        <w:rPr>
          <w:rFonts w:ascii="Arial" w:hAnsi="Arial" w:cs="Arial" w:eastAsiaTheme="minorEastAsia"/>
        </w:rPr>
        <w:t xml:space="preserve"> представленных замечаний и утверждается распоряжением администрации.</w:t>
      </w:r>
    </w:p>
    <w:p>
      <w:pPr>
        <w:widowControl w:val="0"/>
        <w:autoSpaceDE w:val="0"/>
        <w:autoSpaceDN w:val="0"/>
        <w:adjustRightInd w:val="0"/>
        <w:ind w:firstLine="540"/>
        <w:contextualSpacing/>
        <w:jc w:val="both"/>
        <w:rPr>
          <w:rFonts w:ascii="Arial" w:hAnsi="Arial" w:cs="Arial" w:eastAsiaTheme="minorEastAsia"/>
        </w:rPr>
      </w:pPr>
      <w:r>
        <w:rPr>
          <w:rFonts w:ascii="Arial" w:hAnsi="Arial" w:cs="Arial" w:eastAsiaTheme="minorEastAsia"/>
        </w:rPr>
        <w:t>43. Вопросы, связанные с проведением оценки коррупционных рисков, возникающих при реализации функций, корректировкой перечней должностей в администрации,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не реже одного раза в год.</w:t>
      </w: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widowControl w:val="0"/>
        <w:autoSpaceDE w:val="0"/>
        <w:autoSpaceDN w:val="0"/>
        <w:adjustRightInd w:val="0"/>
        <w:ind w:firstLine="540"/>
        <w:contextualSpacing/>
        <w:jc w:val="both"/>
        <w:rPr>
          <w:rFonts w:ascii="Arial" w:hAnsi="Arial" w:cs="Arial" w:eastAsiaTheme="minorEastAsia"/>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Arial" w:hAnsi="Arial" w:cs="Arial"/>
          <w:bCs/>
          <w:lang w:val="ru-RU"/>
        </w:rPr>
      </w:pPr>
      <w:r>
        <w:rPr>
          <w:rFonts w:ascii="Arial" w:hAnsi="Arial" w:cs="Arial"/>
          <w:bCs/>
        </w:rPr>
        <w:t xml:space="preserve">Приложение </w:t>
      </w:r>
      <w:r>
        <w:rPr>
          <w:rFonts w:hint="default" w:ascii="Arial" w:hAnsi="Arial" w:cs="Arial"/>
          <w:bCs/>
          <w:lang w:val="ru-RU"/>
        </w:rPr>
        <w:t>2</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Arial" w:hAnsi="Arial" w:cs="Arial"/>
          <w:bCs/>
        </w:rPr>
      </w:pPr>
      <w:r>
        <w:rPr>
          <w:rFonts w:ascii="Arial" w:hAnsi="Arial" w:cs="Arial"/>
          <w:bCs/>
        </w:rPr>
        <w:t>к постановлению администрации</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Arial" w:hAnsi="Arial" w:cs="Arial"/>
          <w:bCs/>
        </w:rPr>
      </w:pPr>
      <w:r>
        <w:rPr>
          <w:rFonts w:ascii="Arial" w:hAnsi="Arial" w:cs="Arial"/>
          <w:bCs/>
        </w:rPr>
        <w:t>Заславского муниципального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Arial" w:hAnsi="Arial" w:cs="Arial"/>
          <w:lang w:val="ru-RU"/>
        </w:rPr>
      </w:pPr>
      <w:r>
        <w:rPr>
          <w:rFonts w:ascii="Arial" w:hAnsi="Arial" w:cs="Arial"/>
          <w:bCs/>
        </w:rPr>
        <w:t>от 2</w:t>
      </w:r>
      <w:r>
        <w:rPr>
          <w:rFonts w:hint="default" w:ascii="Arial" w:hAnsi="Arial" w:cs="Arial"/>
          <w:bCs/>
          <w:lang w:val="ru-RU"/>
        </w:rPr>
        <w:t>0</w:t>
      </w:r>
      <w:r>
        <w:rPr>
          <w:rFonts w:ascii="Arial" w:hAnsi="Arial" w:cs="Arial"/>
          <w:bCs/>
        </w:rPr>
        <w:t>.0</w:t>
      </w:r>
      <w:r>
        <w:rPr>
          <w:rFonts w:hint="default" w:ascii="Arial" w:hAnsi="Arial" w:cs="Arial"/>
          <w:bCs/>
          <w:lang w:val="ru-RU"/>
        </w:rPr>
        <w:t>5</w:t>
      </w:r>
      <w:r>
        <w:rPr>
          <w:rFonts w:ascii="Arial" w:hAnsi="Arial" w:cs="Arial"/>
          <w:bCs/>
        </w:rPr>
        <w:t xml:space="preserve">.2021 г.№ </w:t>
      </w:r>
      <w:r>
        <w:rPr>
          <w:rFonts w:hint="default" w:ascii="Arial" w:hAnsi="Arial" w:cs="Arial"/>
          <w:bCs/>
          <w:lang w:val="ru-RU"/>
        </w:rPr>
        <w:t>18</w:t>
      </w:r>
    </w:p>
    <w:p>
      <w:pPr>
        <w:jc w:val="right"/>
        <w:rPr>
          <w:rFonts w:ascii="Arial" w:hAnsi="Arial" w:cs="Arial"/>
          <w:sz w:val="22"/>
          <w:szCs w:val="22"/>
        </w:rPr>
      </w:pPr>
    </w:p>
    <w:p>
      <w:pPr>
        <w:widowControl w:val="0"/>
        <w:autoSpaceDE w:val="0"/>
        <w:autoSpaceDN w:val="0"/>
        <w:adjustRightInd w:val="0"/>
        <w:contextualSpacing/>
        <w:jc w:val="center"/>
        <w:rPr>
          <w:rFonts w:ascii="Arial" w:hAnsi="Arial" w:cs="Arial"/>
        </w:rPr>
      </w:pPr>
      <w:r>
        <w:rPr>
          <w:rFonts w:ascii="Arial" w:hAnsi="Arial" w:cs="Arial"/>
        </w:rPr>
        <w:t>Карта коррупционных рисков</w:t>
      </w:r>
    </w:p>
    <w:p>
      <w:pPr>
        <w:widowControl w:val="0"/>
        <w:autoSpaceDE w:val="0"/>
        <w:autoSpaceDN w:val="0"/>
        <w:adjustRightInd w:val="0"/>
        <w:contextualSpacing/>
        <w:jc w:val="center"/>
        <w:rPr>
          <w:rFonts w:ascii="Arial" w:hAnsi="Arial" w:cs="Arial" w:eastAsiaTheme="minorEastAsia"/>
        </w:rPr>
      </w:pPr>
      <w:r>
        <w:rPr>
          <w:rFonts w:ascii="Arial" w:hAnsi="Arial" w:cs="Arial" w:eastAsiaTheme="minorEastAsia"/>
        </w:rPr>
        <w:t xml:space="preserve">администрации Заславского муниципального образования </w:t>
      </w:r>
      <w:r>
        <w:rPr>
          <w:rFonts w:ascii="Arial" w:hAnsi="Arial" w:cs="Arial"/>
        </w:rPr>
        <w:t>и муниципальными служащими структурных подразделений администрации Заславского муниципального образования</w:t>
      </w:r>
    </w:p>
    <w:p>
      <w:pPr>
        <w:widowControl w:val="0"/>
        <w:autoSpaceDE w:val="0"/>
        <w:autoSpaceDN w:val="0"/>
        <w:adjustRightInd w:val="0"/>
        <w:ind w:firstLine="540"/>
        <w:contextualSpacing/>
        <w:jc w:val="both"/>
        <w:rPr>
          <w:rFonts w:ascii="Arial" w:hAnsi="Arial" w:cs="Arial" w:eastAsiaTheme="minorEastAsia"/>
          <w:sz w:val="30"/>
          <w:szCs w:val="30"/>
        </w:rPr>
      </w:pPr>
    </w:p>
    <w:tbl>
      <w:tblPr>
        <w:tblStyle w:val="3"/>
        <w:tblW w:w="9431" w:type="dxa"/>
        <w:tblInd w:w="62" w:type="dxa"/>
        <w:tblLayout w:type="fixed"/>
        <w:tblCellMar>
          <w:top w:w="102" w:type="dxa"/>
          <w:left w:w="62" w:type="dxa"/>
          <w:bottom w:w="102" w:type="dxa"/>
          <w:right w:w="62" w:type="dxa"/>
        </w:tblCellMar>
      </w:tblPr>
      <w:tblGrid>
        <w:gridCol w:w="558"/>
        <w:gridCol w:w="2106"/>
        <w:gridCol w:w="1883"/>
        <w:gridCol w:w="1792"/>
        <w:gridCol w:w="1218"/>
        <w:gridCol w:w="1874"/>
      </w:tblGrid>
      <w:tr>
        <w:tblPrEx>
          <w:tblCellMar>
            <w:top w:w="102" w:type="dxa"/>
            <w:left w:w="62" w:type="dxa"/>
            <w:bottom w:w="102" w:type="dxa"/>
            <w:right w:w="62" w:type="dxa"/>
          </w:tblCellMar>
        </w:tblPrEx>
        <w:tc>
          <w:tcPr>
            <w:tcW w:w="55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N</w:t>
            </w:r>
          </w:p>
        </w:tc>
        <w:tc>
          <w:tcPr>
            <w:tcW w:w="21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Коррупционно-опасные полномочия</w:t>
            </w:r>
          </w:p>
        </w:tc>
        <w:tc>
          <w:tcPr>
            <w:tcW w:w="188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Наименование должности</w:t>
            </w:r>
          </w:p>
        </w:tc>
        <w:tc>
          <w:tcPr>
            <w:tcW w:w="179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Типовые ситуации</w:t>
            </w:r>
          </w:p>
        </w:tc>
        <w:tc>
          <w:tcPr>
            <w:tcW w:w="121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Степень риска (низкая, средняя, высокая)</w:t>
            </w:r>
          </w:p>
        </w:tc>
        <w:tc>
          <w:tcPr>
            <w:tcW w:w="187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Меры по минимизации (устранению) коррупционного риска</w:t>
            </w:r>
          </w:p>
        </w:tc>
      </w:tr>
      <w:tr>
        <w:tblPrEx>
          <w:tblCellMar>
            <w:top w:w="102" w:type="dxa"/>
            <w:left w:w="62" w:type="dxa"/>
            <w:bottom w:w="102" w:type="dxa"/>
            <w:right w:w="62" w:type="dxa"/>
          </w:tblCellMar>
        </w:tblPrEx>
        <w:tc>
          <w:tcPr>
            <w:tcW w:w="55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1</w:t>
            </w:r>
          </w:p>
        </w:tc>
        <w:tc>
          <w:tcPr>
            <w:tcW w:w="21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2</w:t>
            </w:r>
          </w:p>
        </w:tc>
        <w:tc>
          <w:tcPr>
            <w:tcW w:w="188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3</w:t>
            </w:r>
          </w:p>
        </w:tc>
        <w:tc>
          <w:tcPr>
            <w:tcW w:w="179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4</w:t>
            </w:r>
          </w:p>
        </w:tc>
        <w:tc>
          <w:tcPr>
            <w:tcW w:w="121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5</w:t>
            </w:r>
          </w:p>
        </w:tc>
        <w:tc>
          <w:tcPr>
            <w:tcW w:w="187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6</w:t>
            </w:r>
          </w:p>
        </w:tc>
      </w:tr>
      <w:tr>
        <w:tblPrEx>
          <w:tblCellMar>
            <w:top w:w="102" w:type="dxa"/>
            <w:left w:w="62" w:type="dxa"/>
            <w:bottom w:w="102" w:type="dxa"/>
            <w:right w:w="62" w:type="dxa"/>
          </w:tblCellMar>
        </w:tblPrEx>
        <w:tc>
          <w:tcPr>
            <w:tcW w:w="9431" w:type="dxa"/>
            <w:gridSpan w:val="6"/>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r>
              <w:rPr>
                <w:rFonts w:ascii="Courier New" w:hAnsi="Courier New" w:cs="Courier New" w:eastAsiaTheme="minorEastAsia"/>
                <w:sz w:val="22"/>
                <w:szCs w:val="22"/>
              </w:rPr>
              <w:t>Наименование структурного подразделения</w:t>
            </w:r>
          </w:p>
        </w:tc>
      </w:tr>
      <w:tr>
        <w:tblPrEx>
          <w:tblCellMar>
            <w:top w:w="102" w:type="dxa"/>
            <w:left w:w="62" w:type="dxa"/>
            <w:bottom w:w="102" w:type="dxa"/>
            <w:right w:w="62" w:type="dxa"/>
          </w:tblCellMar>
        </w:tblPrEx>
        <w:tc>
          <w:tcPr>
            <w:tcW w:w="55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c>
          <w:tcPr>
            <w:tcW w:w="21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c>
          <w:tcPr>
            <w:tcW w:w="188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c>
          <w:tcPr>
            <w:tcW w:w="179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c>
          <w:tcPr>
            <w:tcW w:w="121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c>
          <w:tcPr>
            <w:tcW w:w="187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center"/>
              <w:rPr>
                <w:rFonts w:ascii="Courier New" w:hAnsi="Courier New" w:cs="Courier New" w:eastAsiaTheme="minorEastAsia"/>
                <w:sz w:val="22"/>
                <w:szCs w:val="22"/>
              </w:rPr>
            </w:pPr>
          </w:p>
        </w:tc>
      </w:tr>
    </w:tbl>
    <w:p>
      <w:pPr>
        <w:widowControl w:val="0"/>
        <w:autoSpaceDE w:val="0"/>
        <w:autoSpaceDN w:val="0"/>
        <w:adjustRightInd w:val="0"/>
        <w:ind w:firstLine="540"/>
        <w:contextualSpacing/>
        <w:jc w:val="both"/>
        <w:rPr>
          <w:rFonts w:ascii="Arial" w:hAnsi="Arial" w:cs="Arial" w:eastAsiaTheme="minorEastAsia"/>
        </w:rPr>
      </w:pPr>
    </w:p>
    <w:p>
      <w:pPr>
        <w:rPr>
          <w:rFonts w:ascii="Arial" w:hAnsi="Arial" w:cs="Arial"/>
        </w:rPr>
      </w:pPr>
    </w:p>
    <w:p>
      <w:pPr>
        <w:pStyle w:val="7"/>
        <w:rPr>
          <w:rFonts w:ascii="Arial" w:hAnsi="Arial" w:cs="Arial"/>
          <w:sz w:val="24"/>
          <w:szCs w:val="24"/>
        </w:rPr>
      </w:pPr>
    </w:p>
    <w:p>
      <w:pPr>
        <w:pStyle w:val="7"/>
        <w:rPr>
          <w:rFonts w:ascii="Arial" w:hAnsi="Arial" w:cs="Arial"/>
          <w:sz w:val="24"/>
          <w:szCs w:val="24"/>
        </w:rPr>
      </w:pPr>
    </w:p>
    <w:p>
      <w:pPr>
        <w:pStyle w:val="7"/>
        <w:rPr>
          <w:rFonts w:ascii="Arial" w:hAnsi="Arial" w:cs="Arial"/>
          <w:sz w:val="24"/>
          <w:szCs w:val="24"/>
        </w:rPr>
      </w:pPr>
    </w:p>
    <w:p>
      <w:pPr>
        <w:pStyle w:val="6"/>
        <w:contextualSpacing/>
        <w:jc w:val="left"/>
        <w:rPr>
          <w:rFonts w:ascii="Arial" w:hAnsi="Arial" w:eastAsia="Times New Roman" w:cs="Arial"/>
          <w:b/>
          <w:sz w:val="32"/>
          <w:szCs w:val="32"/>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84FBF"/>
    <w:multiLevelType w:val="singleLevel"/>
    <w:tmpl w:val="AA884F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94"/>
    <w:rsid w:val="00221448"/>
    <w:rsid w:val="003A78FB"/>
    <w:rsid w:val="00535944"/>
    <w:rsid w:val="00547D10"/>
    <w:rsid w:val="00582994"/>
    <w:rsid w:val="005D7C18"/>
    <w:rsid w:val="008303A8"/>
    <w:rsid w:val="00833EA7"/>
    <w:rsid w:val="009A77FE"/>
    <w:rsid w:val="00AA0968"/>
    <w:rsid w:val="00B10505"/>
    <w:rsid w:val="00B34F1E"/>
    <w:rsid w:val="00E1552F"/>
    <w:rsid w:val="00FE08B0"/>
    <w:rsid w:val="05260208"/>
    <w:rsid w:val="087C51DA"/>
    <w:rsid w:val="0E191C20"/>
    <w:rsid w:val="0E9416AE"/>
    <w:rsid w:val="1A387E53"/>
    <w:rsid w:val="1AF125C8"/>
    <w:rsid w:val="2CA07FC1"/>
    <w:rsid w:val="457F76DD"/>
    <w:rsid w:val="4D5B4F62"/>
    <w:rsid w:val="4DC058AB"/>
    <w:rsid w:val="53CA1F8B"/>
    <w:rsid w:val="5C1E009A"/>
    <w:rsid w:val="5C9634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5"/>
    <w:uiPriority w:val="0"/>
    <w:pPr>
      <w:spacing w:after="0" w:line="240" w:lineRule="auto"/>
      <w:jc w:val="center"/>
    </w:pPr>
    <w:rPr>
      <w:rFonts w:ascii="Times New Roman" w:hAnsi="Times New Roman" w:eastAsia="Times New Roman" w:cs="Times New Roman"/>
      <w:b/>
      <w:sz w:val="28"/>
      <w:szCs w:val="20"/>
    </w:rPr>
  </w:style>
  <w:style w:type="character" w:customStyle="1" w:styleId="5">
    <w:name w:val="Основной текст Знак"/>
    <w:basedOn w:val="2"/>
    <w:link w:val="4"/>
    <w:uiPriority w:val="0"/>
    <w:rPr>
      <w:rFonts w:ascii="Times New Roman" w:hAnsi="Times New Roman" w:eastAsia="Times New Roman" w:cs="Times New Roman"/>
      <w:b/>
      <w:sz w:val="28"/>
      <w:szCs w:val="20"/>
      <w:lang w:eastAsia="ru-RU"/>
    </w:rPr>
  </w:style>
  <w:style w:type="paragraph" w:customStyle="1" w:styleId="6">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styleId="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4181</Characters>
  <Lines>34</Lines>
  <Paragraphs>9</Paragraphs>
  <TotalTime>42</TotalTime>
  <ScaleCrop>false</ScaleCrop>
  <LinksUpToDate>false</LinksUpToDate>
  <CharactersWithSpaces>4905</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2021-04-02T07:06:00Z</dcterms:created>
  <dc:creator>Глава</dc:creator>
  <cp:lastModifiedBy>Глава</cp:lastModifiedBy>
  <dcterms:modified xsi:type="dcterms:W3CDTF">2021-05-20T09:21:40Z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